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charts/chart11.xml" ContentType="application/vnd.openxmlformats-officedocument.drawingml.chart+xml"/>
  <Override PartName="/word/drawings/drawing5.xml" ContentType="application/vnd.openxmlformats-officedocument.drawingml.chartshapes+xml"/>
  <Override PartName="/word/charts/chart12.xml" ContentType="application/vnd.openxmlformats-officedocument.drawingml.chart+xml"/>
  <Override PartName="/word/drawings/drawing6.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drawings/drawing7.xml" ContentType="application/vnd.openxmlformats-officedocument.drawingml.chartshapes+xml"/>
  <Override PartName="/word/charts/chart15.xml" ContentType="application/vnd.openxmlformats-officedocument.drawingml.chart+xml"/>
  <Override PartName="/word/drawings/drawing8.xml" ContentType="application/vnd.openxmlformats-officedocument.drawingml.chartshapes+xml"/>
  <Override PartName="/word/charts/chart16.xml" ContentType="application/vnd.openxmlformats-officedocument.drawingml.chart+xml"/>
  <Override PartName="/word/drawings/drawing9.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drawings/drawing10.xml" ContentType="application/vnd.openxmlformats-officedocument.drawingml.chartshapes+xml"/>
  <Override PartName="/word/charts/chart19.xml" ContentType="application/vnd.openxmlformats-officedocument.drawingml.chart+xml"/>
  <Override PartName="/word/drawings/drawing11.xml" ContentType="application/vnd.openxmlformats-officedocument.drawingml.chartshapes+xml"/>
  <Override PartName="/word/charts/chart20.xml" ContentType="application/vnd.openxmlformats-officedocument.drawingml.chart+xml"/>
  <Override PartName="/word/drawings/drawing12.xml" ContentType="application/vnd.openxmlformats-officedocument.drawingml.chartshapes+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rawings/drawing13.xml" ContentType="application/vnd.openxmlformats-officedocument.drawingml.chartshapes+xml"/>
  <Override PartName="/word/charts/chart24.xml" ContentType="application/vnd.openxmlformats-officedocument.drawingml.chart+xml"/>
  <Override PartName="/word/drawings/drawing14.xml" ContentType="application/vnd.openxmlformats-officedocument.drawingml.chartshapes+xml"/>
  <Override PartName="/word/charts/chart25.xml" ContentType="application/vnd.openxmlformats-officedocument.drawingml.chart+xml"/>
  <Override PartName="/word/drawings/drawing15.xml" ContentType="application/vnd.openxmlformats-officedocument.drawingml.chartshapes+xml"/>
  <Override PartName="/word/charts/chart26.xml" ContentType="application/vnd.openxmlformats-officedocument.drawingml.chart+xml"/>
  <Override PartName="/word/charts/chart27.xml" ContentType="application/vnd.openxmlformats-officedocument.drawingml.chart+xml"/>
  <Override PartName="/word/drawings/drawing16.xml" ContentType="application/vnd.openxmlformats-officedocument.drawingml.chartshapes+xml"/>
  <Override PartName="/word/charts/chart28.xml" ContentType="application/vnd.openxmlformats-officedocument.drawingml.chart+xml"/>
  <Override PartName="/word/drawings/drawing17.xml" ContentType="application/vnd.openxmlformats-officedocument.drawingml.chartshapes+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drawings/drawing18.xml" ContentType="application/vnd.openxmlformats-officedocument.drawingml.chartshapes+xml"/>
  <Override PartName="/word/charts/chart40.xml" ContentType="application/vnd.openxmlformats-officedocument.drawingml.chart+xml"/>
  <Override PartName="/word/drawings/drawing19.xml" ContentType="application/vnd.openxmlformats-officedocument.drawingml.chartshapes+xml"/>
  <Override PartName="/word/charts/chart41.xml" ContentType="application/vnd.openxmlformats-officedocument.drawingml.chart+xml"/>
  <Override PartName="/word/drawings/drawing20.xml" ContentType="application/vnd.openxmlformats-officedocument.drawingml.chartshapes+xml"/>
  <Override PartName="/word/charts/chart42.xml" ContentType="application/vnd.openxmlformats-officedocument.drawingml.chart+xml"/>
  <Override PartName="/word/charts/chart43.xml" ContentType="application/vnd.openxmlformats-officedocument.drawingml.chart+xml"/>
  <Override PartName="/word/drawings/drawing21.xml" ContentType="application/vnd.openxmlformats-officedocument.drawingml.chartshapes+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drawings/drawing22.xml" ContentType="application/vnd.openxmlformats-officedocument.drawingml.chartshapes+xml"/>
  <Override PartName="/word/charts/chart51.xml" ContentType="application/vnd.openxmlformats-officedocument.drawingml.chart+xml"/>
  <Override PartName="/word/drawings/drawing23.xml" ContentType="application/vnd.openxmlformats-officedocument.drawingml.chartshapes+xml"/>
  <Override PartName="/word/charts/chart52.xml" ContentType="application/vnd.openxmlformats-officedocument.drawingml.chart+xml"/>
  <Override PartName="/word/drawings/drawing24.xml" ContentType="application/vnd.openxmlformats-officedocument.drawingml.chartshapes+xml"/>
  <Override PartName="/word/charts/chart53.xml" ContentType="application/vnd.openxmlformats-officedocument.drawingml.chart+xml"/>
  <Override PartName="/word/drawings/drawing25.xml" ContentType="application/vnd.openxmlformats-officedocument.drawingml.chartshapes+xml"/>
  <Override PartName="/word/charts/chart54.xml" ContentType="application/vnd.openxmlformats-officedocument.drawingml.chart+xml"/>
  <Override PartName="/word/drawings/drawing26.xml" ContentType="application/vnd.openxmlformats-officedocument.drawingml.chartshapes+xml"/>
  <Override PartName="/word/charts/chart55.xml" ContentType="application/vnd.openxmlformats-officedocument.drawingml.chart+xml"/>
  <Override PartName="/word/drawings/drawing27.xml" ContentType="application/vnd.openxmlformats-officedocument.drawingml.chartshapes+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drawings/drawing28.xml" ContentType="application/vnd.openxmlformats-officedocument.drawingml.chartshapes+xml"/>
  <Override PartName="/word/charts/chart59.xml" ContentType="application/vnd.openxmlformats-officedocument.drawingml.chart+xml"/>
  <Override PartName="/word/drawings/drawing29.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13C8" w14:textId="77777777" w:rsidR="00086DAA" w:rsidRDefault="00086DAA">
      <w:pPr>
        <w:rPr>
          <w:rFonts w:ascii="ＭＳ Ｐゴシック" w:eastAsia="ＭＳ Ｐゴシック" w:hAnsi="ＭＳ Ｐゴシック"/>
          <w:sz w:val="24"/>
        </w:rPr>
      </w:pPr>
    </w:p>
    <w:p w14:paraId="000C9AEE" w14:textId="77777777" w:rsidR="00086DAA" w:rsidRDefault="00086DAA">
      <w:pPr>
        <w:rPr>
          <w:rFonts w:ascii="ＭＳ Ｐゴシック" w:eastAsia="ＭＳ Ｐゴシック" w:hAnsi="ＭＳ Ｐゴシック"/>
          <w:sz w:val="24"/>
        </w:rPr>
      </w:pPr>
    </w:p>
    <w:p w14:paraId="7EA04392" w14:textId="77777777" w:rsidR="00086DAA" w:rsidRDefault="00086DAA">
      <w:pPr>
        <w:rPr>
          <w:rFonts w:ascii="ＭＳ Ｐゴシック" w:eastAsia="ＭＳ Ｐゴシック" w:hAnsi="ＭＳ Ｐゴシック"/>
          <w:sz w:val="24"/>
        </w:rPr>
      </w:pPr>
    </w:p>
    <w:p w14:paraId="654D3133" w14:textId="77777777" w:rsidR="00086DAA" w:rsidRDefault="00086DAA">
      <w:pPr>
        <w:rPr>
          <w:rFonts w:ascii="ＭＳ Ｐゴシック" w:eastAsia="ＭＳ Ｐゴシック" w:hAnsi="ＭＳ Ｐゴシック"/>
          <w:sz w:val="24"/>
        </w:rPr>
      </w:pPr>
    </w:p>
    <w:p w14:paraId="5D654E10" w14:textId="77777777" w:rsidR="00086DAA" w:rsidRDefault="00086DAA">
      <w:pPr>
        <w:rPr>
          <w:rFonts w:ascii="ＭＳ Ｐゴシック" w:eastAsia="ＭＳ Ｐゴシック" w:hAnsi="ＭＳ Ｐゴシック"/>
          <w:sz w:val="24"/>
        </w:rPr>
      </w:pPr>
    </w:p>
    <w:p w14:paraId="1270A22B" w14:textId="77777777" w:rsidR="00086DAA" w:rsidRDefault="00086DAA">
      <w:pPr>
        <w:rPr>
          <w:rFonts w:ascii="ＭＳ Ｐゴシック" w:eastAsia="ＭＳ Ｐゴシック" w:hAnsi="ＭＳ Ｐゴシック"/>
          <w:sz w:val="24"/>
        </w:rPr>
      </w:pPr>
    </w:p>
    <w:p w14:paraId="060A03BF" w14:textId="77777777" w:rsidR="00086DAA" w:rsidRDefault="005541F6">
      <w:pPr>
        <w:jc w:val="center"/>
        <w:rPr>
          <w:rFonts w:ascii="ＭＳ Ｐゴシック" w:eastAsia="ＭＳ Ｐゴシック" w:hAnsi="ＭＳ Ｐゴシック"/>
          <w:sz w:val="52"/>
        </w:rPr>
      </w:pPr>
      <w:r>
        <w:rPr>
          <w:rFonts w:ascii="ＭＳ Ｐゴシック" w:eastAsia="ＭＳ Ｐゴシック" w:hAnsi="ＭＳ Ｐゴシック" w:hint="eastAsia"/>
          <w:sz w:val="52"/>
        </w:rPr>
        <w:t>平成</w:t>
      </w:r>
      <w:r>
        <w:rPr>
          <w:rFonts w:ascii="ＭＳ Ｐゴシック" w:eastAsia="ＭＳ Ｐゴシック" w:hAnsi="ＭＳ Ｐゴシック" w:hint="eastAsia"/>
          <w:sz w:val="52"/>
        </w:rPr>
        <w:t>30</w:t>
      </w:r>
      <w:r>
        <w:rPr>
          <w:rFonts w:ascii="ＭＳ Ｐゴシック" w:eastAsia="ＭＳ Ｐゴシック" w:hAnsi="ＭＳ Ｐゴシック" w:hint="eastAsia"/>
          <w:sz w:val="52"/>
        </w:rPr>
        <w:t>年　住宅・土地統計調査</w:t>
      </w:r>
    </w:p>
    <w:p w14:paraId="493E6BBC" w14:textId="77777777" w:rsidR="00086DAA" w:rsidRDefault="00086DAA">
      <w:pPr>
        <w:jc w:val="center"/>
        <w:rPr>
          <w:rFonts w:ascii="ＭＳ Ｐゴシック" w:eastAsia="ＭＳ Ｐゴシック" w:hAnsi="ＭＳ Ｐゴシック"/>
          <w:sz w:val="24"/>
        </w:rPr>
      </w:pPr>
    </w:p>
    <w:p w14:paraId="7AB7F1B8" w14:textId="77777777" w:rsidR="00086DAA" w:rsidRDefault="00086DAA">
      <w:pPr>
        <w:jc w:val="center"/>
        <w:rPr>
          <w:rFonts w:ascii="ＭＳ Ｐゴシック" w:eastAsia="ＭＳ Ｐゴシック" w:hAnsi="ＭＳ Ｐゴシック"/>
          <w:sz w:val="24"/>
        </w:rPr>
      </w:pPr>
    </w:p>
    <w:p w14:paraId="7DC12BA8" w14:textId="77777777" w:rsidR="00086DAA" w:rsidRDefault="005541F6">
      <w:pPr>
        <w:jc w:val="center"/>
        <w:rPr>
          <w:rFonts w:ascii="ＭＳ Ｐゴシック" w:eastAsia="ＭＳ Ｐゴシック" w:hAnsi="ＭＳ Ｐゴシック"/>
          <w:sz w:val="36"/>
        </w:rPr>
      </w:pPr>
      <w:r>
        <w:rPr>
          <w:rFonts w:ascii="ＭＳ Ｐゴシック" w:eastAsia="ＭＳ Ｐゴシック" w:hAnsi="ＭＳ Ｐゴシック" w:hint="eastAsia"/>
          <w:sz w:val="36"/>
        </w:rPr>
        <w:t>(</w:t>
      </w:r>
      <w:r>
        <w:rPr>
          <w:rFonts w:ascii="ＭＳ Ｐゴシック" w:eastAsia="ＭＳ Ｐゴシック" w:hAnsi="ＭＳ Ｐゴシック" w:hint="eastAsia"/>
          <w:sz w:val="36"/>
        </w:rPr>
        <w:t>住宅及び世帯に関する基本集計</w:t>
      </w:r>
      <w:r>
        <w:rPr>
          <w:rFonts w:ascii="ＭＳ Ｐゴシック" w:eastAsia="ＭＳ Ｐゴシック" w:hAnsi="ＭＳ Ｐゴシック" w:hint="eastAsia"/>
          <w:sz w:val="36"/>
        </w:rPr>
        <w:t>)</w:t>
      </w:r>
    </w:p>
    <w:p w14:paraId="76B4CA22" w14:textId="77777777" w:rsidR="00086DAA" w:rsidRDefault="005541F6">
      <w:pPr>
        <w:jc w:val="center"/>
        <w:rPr>
          <w:rFonts w:ascii="ＭＳ Ｐゴシック" w:eastAsia="ＭＳ Ｐゴシック" w:hAnsi="ＭＳ Ｐゴシック"/>
          <w:sz w:val="36"/>
        </w:rPr>
      </w:pPr>
      <w:r>
        <w:rPr>
          <w:rFonts w:ascii="ＭＳ Ｐゴシック" w:eastAsia="ＭＳ Ｐゴシック" w:hAnsi="ＭＳ Ｐゴシック" w:hint="eastAsia"/>
          <w:sz w:val="36"/>
        </w:rPr>
        <w:t>(</w:t>
      </w:r>
      <w:r>
        <w:rPr>
          <w:rFonts w:ascii="ＭＳ Ｐゴシック" w:eastAsia="ＭＳ Ｐゴシック" w:hAnsi="ＭＳ Ｐゴシック" w:hint="eastAsia"/>
          <w:sz w:val="36"/>
        </w:rPr>
        <w:t>住宅の構造等に関する集計</w:t>
      </w:r>
      <w:r>
        <w:rPr>
          <w:rFonts w:ascii="ＭＳ Ｐゴシック" w:eastAsia="ＭＳ Ｐゴシック" w:hAnsi="ＭＳ Ｐゴシック" w:hint="eastAsia"/>
          <w:sz w:val="36"/>
        </w:rPr>
        <w:t>)</w:t>
      </w:r>
    </w:p>
    <w:p w14:paraId="10BB6F2B" w14:textId="77777777" w:rsidR="00086DAA" w:rsidRDefault="005541F6">
      <w:pPr>
        <w:jc w:val="center"/>
        <w:rPr>
          <w:rFonts w:ascii="ＭＳ Ｐゴシック" w:eastAsia="ＭＳ Ｐゴシック" w:hAnsi="ＭＳ Ｐゴシック"/>
          <w:sz w:val="36"/>
        </w:rPr>
      </w:pPr>
      <w:r>
        <w:rPr>
          <w:rFonts w:ascii="ＭＳ Ｐゴシック" w:eastAsia="ＭＳ Ｐゴシック" w:hAnsi="ＭＳ Ｐゴシック" w:hint="eastAsia"/>
          <w:sz w:val="36"/>
        </w:rPr>
        <w:t>(</w:t>
      </w:r>
      <w:r>
        <w:rPr>
          <w:rFonts w:ascii="ＭＳ Ｐゴシック" w:eastAsia="ＭＳ Ｐゴシック" w:hAnsi="ＭＳ Ｐゴシック" w:hint="eastAsia"/>
          <w:sz w:val="36"/>
        </w:rPr>
        <w:t>土地集計</w:t>
      </w:r>
      <w:r>
        <w:rPr>
          <w:rFonts w:ascii="ＭＳ Ｐゴシック" w:eastAsia="ＭＳ Ｐゴシック" w:hAnsi="ＭＳ Ｐゴシック" w:hint="eastAsia"/>
          <w:sz w:val="36"/>
        </w:rPr>
        <w:t>)</w:t>
      </w:r>
    </w:p>
    <w:p w14:paraId="01A47EFF" w14:textId="77777777" w:rsidR="00086DAA" w:rsidRDefault="00086DAA">
      <w:pPr>
        <w:jc w:val="center"/>
        <w:rPr>
          <w:rFonts w:ascii="ＭＳ Ｐゴシック" w:eastAsia="ＭＳ Ｐゴシック" w:hAnsi="ＭＳ Ｐゴシック"/>
          <w:sz w:val="24"/>
        </w:rPr>
      </w:pPr>
    </w:p>
    <w:p w14:paraId="1EA89CDC" w14:textId="77777777" w:rsidR="00086DAA" w:rsidRDefault="00086DAA">
      <w:pPr>
        <w:jc w:val="center"/>
        <w:rPr>
          <w:rFonts w:ascii="ＭＳ Ｐゴシック" w:eastAsia="ＭＳ Ｐゴシック" w:hAnsi="ＭＳ Ｐゴシック"/>
          <w:sz w:val="24"/>
        </w:rPr>
      </w:pPr>
    </w:p>
    <w:p w14:paraId="45965B72" w14:textId="77777777" w:rsidR="00086DAA" w:rsidRDefault="005541F6">
      <w:pPr>
        <w:jc w:val="center"/>
        <w:rPr>
          <w:rFonts w:ascii="ＭＳ Ｐゴシック" w:eastAsia="ＭＳ Ｐゴシック" w:hAnsi="ＭＳ Ｐゴシック"/>
          <w:sz w:val="44"/>
        </w:rPr>
      </w:pPr>
      <w:r>
        <w:rPr>
          <w:rFonts w:ascii="ＭＳ Ｐゴシック" w:eastAsia="ＭＳ Ｐゴシック" w:hAnsi="ＭＳ Ｐゴシック" w:hint="eastAsia"/>
          <w:sz w:val="44"/>
        </w:rPr>
        <w:t>－　秋田県の概要　－</w:t>
      </w:r>
    </w:p>
    <w:p w14:paraId="343EFA3F" w14:textId="77777777" w:rsidR="00086DAA" w:rsidRDefault="00086DAA">
      <w:pPr>
        <w:jc w:val="center"/>
        <w:rPr>
          <w:rFonts w:ascii="ＭＳ Ｐゴシック" w:eastAsia="ＭＳ Ｐゴシック" w:hAnsi="ＭＳ Ｐゴシック"/>
          <w:sz w:val="24"/>
        </w:rPr>
      </w:pPr>
    </w:p>
    <w:p w14:paraId="6F130C2A" w14:textId="77777777" w:rsidR="00086DAA" w:rsidRDefault="00086DAA">
      <w:pPr>
        <w:jc w:val="center"/>
        <w:rPr>
          <w:rFonts w:ascii="ＭＳ Ｐゴシック" w:eastAsia="ＭＳ Ｐゴシック" w:hAnsi="ＭＳ Ｐゴシック"/>
          <w:sz w:val="24"/>
        </w:rPr>
      </w:pPr>
    </w:p>
    <w:p w14:paraId="48C699D3" w14:textId="77777777" w:rsidR="00086DAA" w:rsidRDefault="00086DAA">
      <w:pPr>
        <w:jc w:val="center"/>
        <w:rPr>
          <w:rFonts w:ascii="ＭＳ Ｐゴシック" w:eastAsia="ＭＳ Ｐゴシック" w:hAnsi="ＭＳ Ｐゴシック"/>
          <w:sz w:val="24"/>
        </w:rPr>
      </w:pPr>
    </w:p>
    <w:p w14:paraId="06080328" w14:textId="77777777" w:rsidR="00086DAA" w:rsidRDefault="00086DAA">
      <w:pPr>
        <w:jc w:val="center"/>
        <w:rPr>
          <w:rFonts w:ascii="ＭＳ Ｐゴシック" w:eastAsia="ＭＳ Ｐゴシック" w:hAnsi="ＭＳ Ｐゴシック"/>
          <w:sz w:val="24"/>
        </w:rPr>
      </w:pPr>
    </w:p>
    <w:p w14:paraId="7C6DBE4A" w14:textId="77777777" w:rsidR="00086DAA" w:rsidRDefault="00086DAA">
      <w:pPr>
        <w:jc w:val="center"/>
        <w:rPr>
          <w:rFonts w:ascii="ＭＳ Ｐゴシック" w:eastAsia="ＭＳ Ｐゴシック" w:hAnsi="ＭＳ Ｐゴシック"/>
          <w:sz w:val="24"/>
        </w:rPr>
      </w:pPr>
    </w:p>
    <w:p w14:paraId="192A15E5" w14:textId="77777777" w:rsidR="00086DAA" w:rsidRDefault="00086DAA">
      <w:pPr>
        <w:jc w:val="center"/>
        <w:rPr>
          <w:rFonts w:ascii="ＭＳ Ｐゴシック" w:eastAsia="ＭＳ Ｐゴシック" w:hAnsi="ＭＳ Ｐゴシック"/>
          <w:sz w:val="24"/>
        </w:rPr>
      </w:pPr>
    </w:p>
    <w:p w14:paraId="7E96B327" w14:textId="77777777" w:rsidR="00086DAA" w:rsidRDefault="00086DAA">
      <w:pPr>
        <w:jc w:val="center"/>
        <w:rPr>
          <w:rFonts w:ascii="ＭＳ Ｐゴシック" w:eastAsia="ＭＳ Ｐゴシック" w:hAnsi="ＭＳ Ｐゴシック"/>
          <w:sz w:val="24"/>
        </w:rPr>
      </w:pPr>
    </w:p>
    <w:p w14:paraId="7663CB83" w14:textId="77777777" w:rsidR="00086DAA" w:rsidRDefault="00086DAA">
      <w:pPr>
        <w:jc w:val="center"/>
        <w:rPr>
          <w:rFonts w:ascii="ＭＳ Ｐゴシック" w:eastAsia="ＭＳ Ｐゴシック" w:hAnsi="ＭＳ Ｐゴシック"/>
          <w:sz w:val="24"/>
        </w:rPr>
      </w:pPr>
    </w:p>
    <w:p w14:paraId="6D83539A" w14:textId="77777777" w:rsidR="00086DAA" w:rsidRDefault="00086DAA">
      <w:pPr>
        <w:jc w:val="center"/>
        <w:rPr>
          <w:rFonts w:ascii="ＭＳ Ｐゴシック" w:eastAsia="ＭＳ Ｐゴシック" w:hAnsi="ＭＳ Ｐゴシック"/>
          <w:sz w:val="24"/>
        </w:rPr>
      </w:pPr>
    </w:p>
    <w:p w14:paraId="622B3441" w14:textId="77777777" w:rsidR="00086DAA" w:rsidRDefault="00086DAA">
      <w:pPr>
        <w:jc w:val="center"/>
        <w:rPr>
          <w:rFonts w:ascii="ＭＳ Ｐゴシック" w:eastAsia="ＭＳ Ｐゴシック" w:hAnsi="ＭＳ Ｐゴシック"/>
          <w:sz w:val="24"/>
        </w:rPr>
      </w:pPr>
    </w:p>
    <w:p w14:paraId="2E807E73" w14:textId="77777777" w:rsidR="00086DAA" w:rsidRDefault="00086DAA">
      <w:pPr>
        <w:jc w:val="center"/>
        <w:rPr>
          <w:rFonts w:ascii="ＭＳ Ｐゴシック" w:eastAsia="ＭＳ Ｐゴシック" w:hAnsi="ＭＳ Ｐゴシック"/>
          <w:sz w:val="24"/>
        </w:rPr>
      </w:pPr>
    </w:p>
    <w:p w14:paraId="127FDDA4" w14:textId="77777777" w:rsidR="00086DAA" w:rsidRDefault="00086DAA">
      <w:pPr>
        <w:jc w:val="center"/>
        <w:rPr>
          <w:rFonts w:ascii="ＭＳ Ｐゴシック" w:eastAsia="ＭＳ Ｐゴシック" w:hAnsi="ＭＳ Ｐゴシック"/>
          <w:sz w:val="24"/>
        </w:rPr>
      </w:pPr>
    </w:p>
    <w:p w14:paraId="4E66AA94" w14:textId="77777777" w:rsidR="00086DAA" w:rsidRDefault="00086DAA">
      <w:pPr>
        <w:jc w:val="center"/>
        <w:rPr>
          <w:rFonts w:ascii="ＭＳ Ｐゴシック" w:eastAsia="ＭＳ Ｐゴシック" w:hAnsi="ＭＳ Ｐゴシック"/>
          <w:sz w:val="24"/>
        </w:rPr>
      </w:pPr>
    </w:p>
    <w:p w14:paraId="53AACCFA" w14:textId="77777777" w:rsidR="00086DAA" w:rsidRDefault="005541F6">
      <w:pPr>
        <w:jc w:val="center"/>
        <w:rPr>
          <w:rFonts w:ascii="ＭＳ Ｐゴシック" w:eastAsia="ＭＳ Ｐゴシック" w:hAnsi="ＭＳ Ｐゴシック"/>
          <w:sz w:val="44"/>
        </w:rPr>
      </w:pPr>
      <w:r>
        <w:rPr>
          <w:rFonts w:ascii="ＭＳ Ｐゴシック" w:eastAsia="ＭＳ Ｐゴシック" w:hAnsi="ＭＳ Ｐゴシック" w:hint="eastAsia"/>
          <w:sz w:val="44"/>
        </w:rPr>
        <w:t>令和２年５月</w:t>
      </w:r>
    </w:p>
    <w:p w14:paraId="5A866B29" w14:textId="77777777" w:rsidR="00086DAA" w:rsidRDefault="005541F6">
      <w:pPr>
        <w:jc w:val="center"/>
        <w:rPr>
          <w:rFonts w:ascii="ＭＳ Ｐゴシック" w:eastAsia="ＭＳ Ｐゴシック" w:hAnsi="ＭＳ Ｐゴシック"/>
          <w:sz w:val="44"/>
        </w:rPr>
      </w:pPr>
      <w:r>
        <w:rPr>
          <w:rFonts w:ascii="ＭＳ Ｐゴシック" w:eastAsia="ＭＳ Ｐゴシック" w:hAnsi="ＭＳ Ｐゴシック" w:hint="eastAsia"/>
          <w:sz w:val="44"/>
        </w:rPr>
        <w:t>秋田県企画振興部調査統計課</w:t>
      </w:r>
    </w:p>
    <w:p w14:paraId="71C9E3A6" w14:textId="77777777" w:rsidR="00086DAA" w:rsidRDefault="005541F6">
      <w:pPr>
        <w:widowControl/>
        <w:jc w:val="left"/>
        <w:rPr>
          <w:rFonts w:ascii="ＭＳ Ｐゴシック" w:eastAsia="ＭＳ Ｐゴシック" w:hAnsi="ＭＳ Ｐゴシック"/>
          <w:sz w:val="24"/>
        </w:rPr>
      </w:pPr>
      <w:r>
        <w:rPr>
          <w:rFonts w:ascii="ＭＳ Ｐゴシック" w:eastAsia="ＭＳ Ｐゴシック" w:hAnsi="ＭＳ Ｐゴシック"/>
          <w:sz w:val="24"/>
        </w:rPr>
        <w:br w:type="page"/>
      </w:r>
    </w:p>
    <w:p w14:paraId="692F5CC0" w14:textId="77777777" w:rsidR="00086DAA" w:rsidRDefault="00086DAA">
      <w:pPr>
        <w:widowControl/>
        <w:jc w:val="left"/>
        <w:rPr>
          <w:rFonts w:ascii="ＭＳ Ｐゴシック" w:eastAsia="ＭＳ Ｐゴシック" w:hAnsi="ＭＳ Ｐゴシック"/>
          <w:sz w:val="24"/>
        </w:rPr>
      </w:pPr>
    </w:p>
    <w:p w14:paraId="59061EEB" w14:textId="77777777" w:rsidR="00086DAA" w:rsidRDefault="00086DAA">
      <w:pPr>
        <w:rPr>
          <w:rFonts w:ascii="ＭＳ Ｐゴシック" w:eastAsia="ＭＳ Ｐゴシック" w:hAnsi="ＭＳ Ｐゴシック"/>
          <w:sz w:val="24"/>
        </w:rPr>
      </w:pPr>
    </w:p>
    <w:p w14:paraId="5ADD1029" w14:textId="77777777" w:rsidR="00086DAA" w:rsidRDefault="00086DAA">
      <w:pPr>
        <w:jc w:val="left"/>
        <w:rPr>
          <w:rFonts w:ascii="ＭＳ Ｐゴシック" w:eastAsia="ＭＳ Ｐゴシック" w:hAnsi="ＭＳ Ｐゴシック"/>
          <w:sz w:val="24"/>
        </w:rPr>
      </w:pPr>
    </w:p>
    <w:p w14:paraId="6DC1D939" w14:textId="77777777" w:rsidR="00086DAA" w:rsidRDefault="00086DAA">
      <w:pPr>
        <w:jc w:val="left"/>
        <w:rPr>
          <w:rFonts w:ascii="ＭＳ Ｐゴシック" w:eastAsia="ＭＳ Ｐゴシック" w:hAnsi="ＭＳ Ｐゴシック"/>
          <w:sz w:val="24"/>
        </w:rPr>
      </w:pPr>
    </w:p>
    <w:p w14:paraId="40B741DD" w14:textId="77777777" w:rsidR="00086DAA" w:rsidRDefault="00086DAA">
      <w:pPr>
        <w:jc w:val="left"/>
        <w:rPr>
          <w:rFonts w:ascii="ＭＳ Ｐゴシック" w:eastAsia="ＭＳ Ｐゴシック" w:hAnsi="ＭＳ Ｐゴシック"/>
          <w:sz w:val="24"/>
        </w:rPr>
      </w:pPr>
    </w:p>
    <w:p w14:paraId="51669353" w14:textId="77777777" w:rsidR="00086DAA" w:rsidRDefault="00086DAA">
      <w:pPr>
        <w:jc w:val="left"/>
        <w:rPr>
          <w:rFonts w:ascii="ＭＳ Ｐゴシック" w:eastAsia="ＭＳ Ｐゴシック" w:hAnsi="ＭＳ Ｐゴシック"/>
          <w:sz w:val="24"/>
        </w:rPr>
      </w:pPr>
    </w:p>
    <w:p w14:paraId="672EC166" w14:textId="77777777" w:rsidR="00086DAA" w:rsidRDefault="00086DAA">
      <w:pPr>
        <w:jc w:val="left"/>
        <w:rPr>
          <w:rFonts w:ascii="ＭＳ Ｐゴシック" w:eastAsia="ＭＳ Ｐゴシック" w:hAnsi="ＭＳ Ｐゴシック"/>
          <w:sz w:val="24"/>
        </w:rPr>
      </w:pPr>
    </w:p>
    <w:p w14:paraId="07BE55A0" w14:textId="77777777" w:rsidR="00086DAA" w:rsidRDefault="00086DAA">
      <w:pPr>
        <w:jc w:val="left"/>
        <w:rPr>
          <w:rFonts w:ascii="ＭＳ Ｐゴシック" w:eastAsia="ＭＳ Ｐゴシック" w:hAnsi="ＭＳ Ｐゴシック"/>
          <w:sz w:val="24"/>
        </w:rPr>
      </w:pPr>
    </w:p>
    <w:p w14:paraId="2BE7A05C" w14:textId="77777777" w:rsidR="00086DAA" w:rsidRDefault="00086DAA">
      <w:pPr>
        <w:jc w:val="left"/>
        <w:rPr>
          <w:rFonts w:ascii="ＭＳ Ｐゴシック" w:eastAsia="ＭＳ Ｐゴシック" w:hAnsi="ＭＳ Ｐゴシック"/>
          <w:sz w:val="24"/>
        </w:rPr>
      </w:pPr>
    </w:p>
    <w:p w14:paraId="6FFFBCF7" w14:textId="77777777" w:rsidR="00086DAA" w:rsidRDefault="00086DAA">
      <w:pPr>
        <w:jc w:val="left"/>
        <w:rPr>
          <w:rFonts w:ascii="ＭＳ Ｐゴシック" w:eastAsia="ＭＳ Ｐゴシック" w:hAnsi="ＭＳ Ｐゴシック"/>
          <w:sz w:val="24"/>
        </w:rPr>
      </w:pPr>
    </w:p>
    <w:p w14:paraId="41013DE0" w14:textId="77777777" w:rsidR="00086DAA" w:rsidRDefault="00086DAA">
      <w:pPr>
        <w:jc w:val="left"/>
        <w:rPr>
          <w:rFonts w:ascii="ＭＳ Ｐゴシック" w:eastAsia="ＭＳ Ｐゴシック" w:hAnsi="ＭＳ Ｐゴシック"/>
          <w:sz w:val="24"/>
        </w:rPr>
      </w:pPr>
    </w:p>
    <w:p w14:paraId="67AF94D0" w14:textId="77777777" w:rsidR="00086DAA" w:rsidRDefault="00086DAA">
      <w:pPr>
        <w:jc w:val="left"/>
        <w:rPr>
          <w:rFonts w:ascii="ＭＳ Ｐゴシック" w:eastAsia="ＭＳ Ｐゴシック" w:hAnsi="ＭＳ Ｐゴシック"/>
          <w:sz w:val="24"/>
        </w:rPr>
      </w:pPr>
    </w:p>
    <w:p w14:paraId="55ECD29E" w14:textId="77777777" w:rsidR="00086DAA" w:rsidRDefault="00086DAA">
      <w:pPr>
        <w:jc w:val="left"/>
        <w:rPr>
          <w:rFonts w:ascii="ＭＳ Ｐゴシック" w:eastAsia="ＭＳ Ｐゴシック" w:hAnsi="ＭＳ Ｐゴシック"/>
          <w:sz w:val="24"/>
        </w:rPr>
      </w:pPr>
    </w:p>
    <w:p w14:paraId="7958D62E" w14:textId="77777777" w:rsidR="00086DAA" w:rsidRDefault="00086DAA">
      <w:pPr>
        <w:jc w:val="left"/>
        <w:rPr>
          <w:rFonts w:ascii="ＭＳ Ｐゴシック" w:eastAsia="ＭＳ Ｐゴシック" w:hAnsi="ＭＳ Ｐゴシック"/>
          <w:sz w:val="24"/>
        </w:rPr>
      </w:pPr>
    </w:p>
    <w:p w14:paraId="601D9A4B" w14:textId="77777777" w:rsidR="00086DAA" w:rsidRDefault="00086DAA">
      <w:pPr>
        <w:jc w:val="left"/>
        <w:rPr>
          <w:rFonts w:ascii="ＭＳ Ｐゴシック" w:eastAsia="ＭＳ Ｐゴシック" w:hAnsi="ＭＳ Ｐゴシック"/>
          <w:sz w:val="24"/>
        </w:rPr>
      </w:pPr>
    </w:p>
    <w:p w14:paraId="6AB52B8D" w14:textId="77777777" w:rsidR="00086DAA" w:rsidRDefault="00086DAA">
      <w:pPr>
        <w:jc w:val="left"/>
        <w:rPr>
          <w:rFonts w:ascii="ＭＳ Ｐゴシック" w:eastAsia="ＭＳ Ｐゴシック" w:hAnsi="ＭＳ Ｐゴシック"/>
          <w:sz w:val="24"/>
        </w:rPr>
      </w:pPr>
    </w:p>
    <w:p w14:paraId="4354A72D" w14:textId="77777777" w:rsidR="00086DAA" w:rsidRDefault="00086DAA">
      <w:pPr>
        <w:jc w:val="left"/>
        <w:rPr>
          <w:rFonts w:ascii="ＭＳ Ｐゴシック" w:eastAsia="ＭＳ Ｐゴシック" w:hAnsi="ＭＳ Ｐゴシック"/>
          <w:sz w:val="24"/>
        </w:rPr>
      </w:pPr>
    </w:p>
    <w:p w14:paraId="219E32DB" w14:textId="77777777" w:rsidR="00086DAA" w:rsidRDefault="00086DAA">
      <w:pPr>
        <w:jc w:val="left"/>
        <w:rPr>
          <w:rFonts w:ascii="ＭＳ Ｐゴシック" w:eastAsia="ＭＳ Ｐゴシック" w:hAnsi="ＭＳ Ｐゴシック"/>
          <w:sz w:val="24"/>
        </w:rPr>
      </w:pPr>
    </w:p>
    <w:p w14:paraId="4D11B64D" w14:textId="77777777" w:rsidR="00086DAA" w:rsidRDefault="00086DAA">
      <w:pPr>
        <w:jc w:val="left"/>
        <w:rPr>
          <w:rFonts w:ascii="ＭＳ Ｐゴシック" w:eastAsia="ＭＳ Ｐゴシック" w:hAnsi="ＭＳ Ｐゴシック"/>
          <w:sz w:val="24"/>
        </w:rPr>
      </w:pPr>
    </w:p>
    <w:p w14:paraId="3B8B9166" w14:textId="77777777" w:rsidR="00086DAA" w:rsidRDefault="00086DAA">
      <w:pPr>
        <w:jc w:val="left"/>
        <w:rPr>
          <w:rFonts w:ascii="ＭＳ Ｐゴシック" w:eastAsia="ＭＳ Ｐゴシック" w:hAnsi="ＭＳ Ｐゴシック"/>
          <w:sz w:val="24"/>
        </w:rPr>
      </w:pPr>
    </w:p>
    <w:p w14:paraId="7455BF55" w14:textId="77777777" w:rsidR="00086DAA" w:rsidRDefault="00086DAA">
      <w:pPr>
        <w:jc w:val="left"/>
        <w:rPr>
          <w:rFonts w:ascii="ＭＳ Ｐゴシック" w:eastAsia="ＭＳ Ｐゴシック" w:hAnsi="ＭＳ Ｐゴシック"/>
          <w:sz w:val="24"/>
        </w:rPr>
      </w:pPr>
    </w:p>
    <w:p w14:paraId="189A1272" w14:textId="77777777" w:rsidR="00086DAA" w:rsidRDefault="00086DAA">
      <w:pPr>
        <w:jc w:val="left"/>
        <w:rPr>
          <w:rFonts w:ascii="ＭＳ Ｐゴシック" w:eastAsia="ＭＳ Ｐゴシック" w:hAnsi="ＭＳ Ｐゴシック"/>
          <w:sz w:val="24"/>
        </w:rPr>
      </w:pPr>
    </w:p>
    <w:p w14:paraId="69C26EE9" w14:textId="77777777" w:rsidR="00086DAA" w:rsidRDefault="00086DAA">
      <w:pPr>
        <w:jc w:val="left"/>
        <w:rPr>
          <w:rFonts w:ascii="ＭＳ Ｐゴシック" w:eastAsia="ＭＳ Ｐゴシック" w:hAnsi="ＭＳ Ｐゴシック"/>
          <w:sz w:val="24"/>
        </w:rPr>
      </w:pPr>
    </w:p>
    <w:p w14:paraId="6325D621" w14:textId="77777777" w:rsidR="00086DAA" w:rsidRDefault="005541F6">
      <w:pPr>
        <w:jc w:val="left"/>
        <w:rPr>
          <w:rFonts w:ascii="ＭＳ Ｐゴシック" w:eastAsia="ＭＳ Ｐゴシック" w:hAnsi="ＭＳ Ｐゴシック"/>
          <w:sz w:val="24"/>
        </w:rPr>
      </w:pPr>
      <w:r>
        <w:rPr>
          <w:noProof/>
        </w:rPr>
        <mc:AlternateContent>
          <mc:Choice Requires="wps">
            <w:drawing>
              <wp:anchor distT="0" distB="0" distL="114300" distR="114300" simplePos="0" relativeHeight="25" behindDoc="0" locked="0" layoutInCell="1" hidden="0" allowOverlap="1" wp14:anchorId="0A364FFA" wp14:editId="60A6CE75">
                <wp:simplePos x="0" y="0"/>
                <wp:positionH relativeFrom="column">
                  <wp:posOffset>-9525</wp:posOffset>
                </wp:positionH>
                <wp:positionV relativeFrom="paragraph">
                  <wp:posOffset>57150</wp:posOffset>
                </wp:positionV>
                <wp:extent cx="6248400" cy="3524250"/>
                <wp:effectExtent l="635" t="635" r="29845" b="10795"/>
                <wp:wrapNone/>
                <wp:docPr id="1026" name="対角する 2 つの角を丸めた四角形 6"/>
                <wp:cNvGraphicFramePr/>
                <a:graphic xmlns:a="http://schemas.openxmlformats.org/drawingml/2006/main">
                  <a:graphicData uri="http://schemas.microsoft.com/office/word/2010/wordprocessingShape">
                    <wps:wsp>
                      <wps:cNvSpPr/>
                      <wps:spPr>
                        <a:xfrm>
                          <a:off x="0" y="0"/>
                          <a:ext cx="6248400" cy="3524250"/>
                        </a:xfrm>
                        <a:prstGeom prst="round2Diag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39E5DB" w14:textId="77777777" w:rsidR="00086DAA" w:rsidRDefault="005541F6">
                            <w:pPr>
                              <w:pStyle w:val="Web"/>
                              <w:spacing w:before="0" w:beforeAutospacing="0" w:after="0" w:afterAutospacing="0"/>
                            </w:pPr>
                            <w:r>
                              <w:rPr>
                                <w:rFonts w:ascii="HG丸ｺﾞｼｯｸM-PRO" w:eastAsia="HG丸ｺﾞｼｯｸM-PRO" w:hAnsi="HG丸ｺﾞｼｯｸM-PRO" w:hint="eastAsia"/>
                                <w:b/>
                                <w:color w:val="000000"/>
                              </w:rPr>
                              <w:t>［注意事項］</w:t>
                            </w:r>
                          </w:p>
                          <w:p w14:paraId="6C33F08E" w14:textId="77777777" w:rsidR="00086DAA" w:rsidRDefault="005541F6">
                            <w:pPr>
                              <w:pStyle w:val="Web"/>
                              <w:spacing w:before="0" w:beforeAutospacing="0" w:after="0" w:afterAutospacing="0"/>
                            </w:pPr>
                            <w:r>
                              <w:rPr>
                                <w:rFonts w:ascii="Calibri" w:hAnsi="Calibri" w:hint="eastAsia"/>
                                <w:color w:val="000000"/>
                                <w:sz w:val="20"/>
                              </w:rPr>
                              <w:t xml:space="preserve">　　１．この資料は、令和２年３月までに総務省統計局から公表された平成３０年住宅・土地統計調査「住宅</w:t>
                            </w:r>
                          </w:p>
                          <w:p w14:paraId="1FA05B05" w14:textId="77777777" w:rsidR="00086DAA" w:rsidRDefault="005541F6">
                            <w:pPr>
                              <w:pStyle w:val="Web"/>
                              <w:spacing w:before="0" w:beforeAutospacing="0" w:after="0" w:afterAutospacing="0"/>
                            </w:pPr>
                            <w:r>
                              <w:rPr>
                                <w:rFonts w:ascii="Calibri" w:hAnsi="Calibri" w:hint="eastAsia"/>
                                <w:color w:val="000000"/>
                                <w:sz w:val="20"/>
                              </w:rPr>
                              <w:t xml:space="preserve">　　　及び世帯に関する基本集計」、「住宅の構造等に関する集計」、「土地集計」のうち、秋田県分の集計</w:t>
                            </w:r>
                          </w:p>
                          <w:p w14:paraId="65D083CA" w14:textId="77777777" w:rsidR="00086DAA" w:rsidRDefault="005541F6">
                            <w:pPr>
                              <w:pStyle w:val="Web"/>
                              <w:spacing w:before="0" w:beforeAutospacing="0" w:after="0" w:afterAutospacing="0"/>
                            </w:pPr>
                            <w:r>
                              <w:rPr>
                                <w:rFonts w:ascii="Calibri" w:hAnsi="Calibri" w:hint="eastAsia"/>
                                <w:color w:val="000000"/>
                                <w:sz w:val="20"/>
                              </w:rPr>
                              <w:t xml:space="preserve">　　　結果についてその概要をとりまとめたものです。</w:t>
                            </w:r>
                          </w:p>
                          <w:p w14:paraId="0B5CC656" w14:textId="77777777" w:rsidR="00086DAA" w:rsidRDefault="005541F6">
                            <w:pPr>
                              <w:pStyle w:val="Web"/>
                              <w:spacing w:before="0" w:beforeAutospacing="0" w:after="0" w:afterAutospacing="0"/>
                            </w:pPr>
                            <w:r>
                              <w:rPr>
                                <w:rFonts w:ascii="Calibri" w:hAnsi="Calibri" w:hint="eastAsia"/>
                                <w:color w:val="000000"/>
                                <w:sz w:val="20"/>
                              </w:rPr>
                              <w:t xml:space="preserve">　　　　確報集計の結果の概要、統計表や用語の解説等については、総務省統計局のホームページ</w:t>
                            </w:r>
                          </w:p>
                          <w:p w14:paraId="01317E94" w14:textId="77777777" w:rsidR="00086DAA" w:rsidRDefault="005541F6">
                            <w:pPr>
                              <w:pStyle w:val="Web"/>
                              <w:spacing w:before="0" w:beforeAutospacing="0" w:after="0" w:afterAutospacing="0"/>
                            </w:pPr>
                            <w:r>
                              <w:rPr>
                                <w:rFonts w:ascii="Calibri" w:hAnsi="Calibri" w:hint="eastAsia"/>
                                <w:color w:val="000000"/>
                                <w:sz w:val="20"/>
                              </w:rPr>
                              <w:t xml:space="preserve">　　　　（</w:t>
                            </w:r>
                            <w:r>
                              <w:rPr>
                                <w:rFonts w:hint="eastAsia"/>
                                <w:b/>
                                <w:color w:val="000000"/>
                                <w:sz w:val="20"/>
                                <w:u w:val="single"/>
                              </w:rPr>
                              <w:t>http://http://www.stat.go.jp/data/jyutaku/index.html</w:t>
                            </w:r>
                            <w:r>
                              <w:rPr>
                                <w:rFonts w:ascii="Calibri" w:hAnsi="Calibri" w:hint="eastAsia"/>
                                <w:color w:val="000000"/>
                                <w:sz w:val="20"/>
                              </w:rPr>
                              <w:t>）をご覧ください。</w:t>
                            </w:r>
                          </w:p>
                          <w:p w14:paraId="62D1A31E" w14:textId="77777777" w:rsidR="00086DAA" w:rsidRDefault="005541F6">
                            <w:pPr>
                              <w:pStyle w:val="Web"/>
                              <w:spacing w:before="0" w:beforeAutospacing="0" w:after="0" w:afterAutospacing="0"/>
                              <w:ind w:left="562" w:hangingChars="300" w:hanging="562"/>
                              <w:rPr>
                                <w:color w:val="000000"/>
                                <w:sz w:val="20"/>
                              </w:rPr>
                            </w:pPr>
                            <w:r>
                              <w:rPr>
                                <w:rFonts w:hint="eastAsia"/>
                                <w:color w:val="000000"/>
                                <w:sz w:val="20"/>
                              </w:rPr>
                              <w:t xml:space="preserve">　　２．本文中及び各統計表の数値は、</w:t>
                            </w:r>
                            <w:r>
                              <w:rPr>
                                <w:rFonts w:hint="eastAsia"/>
                                <w:color w:val="000000"/>
                                <w:sz w:val="20"/>
                              </w:rPr>
                              <w:t>10</w:t>
                            </w:r>
                            <w:r>
                              <w:rPr>
                                <w:rFonts w:hint="eastAsia"/>
                                <w:color w:val="000000"/>
                                <w:sz w:val="20"/>
                              </w:rPr>
                              <w:t>位を四捨五入して</w:t>
                            </w:r>
                            <w:r>
                              <w:rPr>
                                <w:rFonts w:hint="eastAsia"/>
                                <w:color w:val="000000"/>
                                <w:sz w:val="20"/>
                              </w:rPr>
                              <w:t>100</w:t>
                            </w:r>
                            <w:r>
                              <w:rPr>
                                <w:rFonts w:hint="eastAsia"/>
                                <w:color w:val="000000"/>
                                <w:sz w:val="20"/>
                              </w:rPr>
                              <w:t>位までを有効数字として表章しているため、総数と内訳の合計は必ずしも一致しない場合があります。</w:t>
                            </w:r>
                          </w:p>
                          <w:p w14:paraId="1F6BAE50" w14:textId="77777777" w:rsidR="00086DAA" w:rsidRDefault="005541F6">
                            <w:pPr>
                              <w:pStyle w:val="Web"/>
                              <w:spacing w:before="0" w:beforeAutospacing="0" w:after="0" w:afterAutospacing="0"/>
                            </w:pPr>
                            <w:r>
                              <w:rPr>
                                <w:rFonts w:hint="eastAsia"/>
                                <w:color w:val="000000"/>
                                <w:sz w:val="20"/>
                              </w:rPr>
                              <w:t xml:space="preserve">　　３．本文の統計表中で使用している記号等の意味は、次のとおりです。</w:t>
                            </w:r>
                          </w:p>
                          <w:p w14:paraId="010AEE09" w14:textId="77777777" w:rsidR="00086DAA" w:rsidRDefault="005541F6">
                            <w:pPr>
                              <w:pStyle w:val="Web"/>
                              <w:spacing w:before="0" w:beforeAutospacing="0" w:after="0" w:afterAutospacing="0"/>
                            </w:pPr>
                            <w:r>
                              <w:rPr>
                                <w:rFonts w:hint="eastAsia"/>
                                <w:color w:val="000000"/>
                                <w:sz w:val="20"/>
                              </w:rPr>
                              <w:t xml:space="preserve">　　　　・「…」は調査又は集計したが該当数字がないもの、又は数字が得られないものを示しています。</w:t>
                            </w:r>
                          </w:p>
                          <w:p w14:paraId="1B5A80E0" w14:textId="77777777" w:rsidR="00086DAA" w:rsidRDefault="005541F6">
                            <w:pPr>
                              <w:pStyle w:val="Web"/>
                              <w:spacing w:before="0" w:beforeAutospacing="0" w:after="0" w:afterAutospacing="0"/>
                            </w:pPr>
                            <w:r>
                              <w:rPr>
                                <w:rFonts w:hint="eastAsia"/>
                                <w:color w:val="000000"/>
                                <w:sz w:val="20"/>
                              </w:rPr>
                              <w:t xml:space="preserve">　　　　・「０」は調査又は集計したが、該当数字が表章単位に満たないものを示しています。</w:t>
                            </w:r>
                          </w:p>
                          <w:p w14:paraId="7A0ECE4A" w14:textId="77777777" w:rsidR="00086DAA" w:rsidRDefault="005541F6">
                            <w:pPr>
                              <w:pStyle w:val="Web"/>
                              <w:spacing w:before="0" w:beforeAutospacing="0" w:after="0" w:afterAutospacing="0"/>
                            </w:pPr>
                            <w:r>
                              <w:rPr>
                                <w:rFonts w:ascii="HG丸ｺﾞｼｯｸM-PRO" w:eastAsia="HG丸ｺﾞｼｯｸM-PRO" w:hAnsi="HG丸ｺﾞｼｯｸM-PRO" w:hint="eastAsia"/>
                                <w:b/>
                                <w:color w:val="000000"/>
                                <w:sz w:val="20"/>
                              </w:rPr>
                              <w:t>［問い合わせ先］</w:t>
                            </w:r>
                          </w:p>
                          <w:p w14:paraId="250CEC13" w14:textId="77777777" w:rsidR="00086DAA" w:rsidRDefault="005541F6">
                            <w:pPr>
                              <w:pStyle w:val="Web"/>
                              <w:spacing w:before="0" w:beforeAutospacing="0" w:after="0" w:afterAutospacing="0"/>
                            </w:pPr>
                            <w:r>
                              <w:rPr>
                                <w:rFonts w:hint="eastAsia"/>
                                <w:color w:val="000000"/>
                                <w:sz w:val="20"/>
                              </w:rPr>
                              <w:t xml:space="preserve">　</w:t>
                            </w:r>
                            <w:r>
                              <w:rPr>
                                <w:rFonts w:hint="eastAsia"/>
                                <w:color w:val="000000"/>
                                <w:sz w:val="20"/>
                              </w:rPr>
                              <w:t xml:space="preserve"> </w:t>
                            </w:r>
                            <w:r>
                              <w:rPr>
                                <w:rFonts w:hint="eastAsia"/>
                                <w:color w:val="000000"/>
                                <w:sz w:val="20"/>
                              </w:rPr>
                              <w:t xml:space="preserve">秋田県企画振興部調査統計課　生活統計班　</w:t>
                            </w:r>
                          </w:p>
                          <w:p w14:paraId="7BC96872" w14:textId="77777777" w:rsidR="00086DAA" w:rsidRDefault="005541F6">
                            <w:pPr>
                              <w:pStyle w:val="Web"/>
                              <w:spacing w:before="0" w:beforeAutospacing="0" w:after="0" w:afterAutospacing="0"/>
                            </w:pPr>
                            <w:r>
                              <w:rPr>
                                <w:rFonts w:hint="eastAsia"/>
                                <w:color w:val="000000"/>
                                <w:sz w:val="20"/>
                              </w:rPr>
                              <w:t xml:space="preserve">　　</w:t>
                            </w:r>
                            <w:r>
                              <w:rPr>
                                <w:rFonts w:hint="eastAsia"/>
                                <w:color w:val="000000"/>
                                <w:sz w:val="20"/>
                              </w:rPr>
                              <w:t xml:space="preserve">  </w:t>
                            </w:r>
                            <w:r>
                              <w:rPr>
                                <w:rFonts w:hint="eastAsia"/>
                                <w:color w:val="000000"/>
                                <w:sz w:val="20"/>
                              </w:rPr>
                              <w:t>ＴＥＬ：０１８－８６０－１２５８　ＦＡＸ：０１８－８６０－１２５２　Ｅ</w:t>
                            </w:r>
                            <w:r>
                              <w:rPr>
                                <w:rFonts w:hint="eastAsia"/>
                                <w:color w:val="000000"/>
                                <w:sz w:val="20"/>
                              </w:rPr>
                              <w:t>-</w:t>
                            </w:r>
                            <w:r>
                              <w:rPr>
                                <w:rFonts w:hint="eastAsia"/>
                                <w:color w:val="000000"/>
                                <w:sz w:val="20"/>
                              </w:rPr>
                              <w:t xml:space="preserve">ｍａｉｌ　</w:t>
                            </w:r>
                            <w:r>
                              <w:rPr>
                                <w:rFonts w:hint="eastAsia"/>
                                <w:color w:val="000000"/>
                                <w:sz w:val="20"/>
                              </w:rPr>
                              <w:t>toukeika@pref.akita.lg.jp</w:t>
                            </w:r>
                          </w:p>
                        </w:txbxContent>
                      </wps:txbx>
                      <wps:bodyPr vertOverflow="clip" horzOverflow="clip" wrap="square" lIns="36000" tIns="0" rIns="36000" bIns="0" rtlCol="0" anchor="ctr" anchorCtr="0"/>
                    </wps:wsp>
                  </a:graphicData>
                </a:graphic>
              </wp:anchor>
            </w:drawing>
          </mc:Choice>
          <mc:Fallback>
            <w:pict>
              <v:shape id="対角する 2 つの角を丸めた四角形 6" style="mso-wrap-distance-right:9pt;mso-wrap-distance-bottom:0pt;margin-top:4.5pt;mso-position-vertical-relative:text;mso-position-horizontal-relative:text;v-text-anchor:middle;position:absolute;height:277.5pt;mso-wrap-distance-top:0pt;width:492pt;mso-wrap-distance-left:9pt;margin-left:-0.75pt;z-index:25;" o:spid="_x0000_s1026" o:allowincell="t" o:allowoverlap="t" filled="t" fillcolor="#ffffff [3212]" stroked="t" strokecolor="#000000 [3213]" strokeweight="1pt" o:spt="0" path="m3600,0l3600,0l21600,0l21600,0l21600,18000l21600,18000c21600,19988,19988,21600,18000,21600l0,21600l0,21600l0,3600c0,1612,1612,0,3600,0xe">
                <v:path textboxrect="1054,1054,20545,20545" o:connecttype="custom" o:connectlocs="21600,10800;10800,21600;0,10800;10800,0" o:connectangles="0,90,180,270"/>
                <v:fill/>
                <v:stroke linestyle="single" joinstyle="round" dashstyle="solid" filltype="solid"/>
                <v:textbox style="layout-flow:horizontal;" inset="0.99999999999999978mm,0mm,0.99999999999999978mm,0mm">
                  <w:txbxContent>
                    <w:p>
                      <w:pPr>
                        <w:pStyle w:val="23"/>
                        <w:spacing w:before="0" w:beforeLines="0" w:beforeAutospacing="0" w:after="0" w:afterLines="0" w:afterAutospacing="0"/>
                        <w:rPr>
                          <w:rFonts w:hint="default"/>
                        </w:rPr>
                      </w:pPr>
                      <w:r>
                        <w:rPr>
                          <w:rFonts w:hint="eastAsia" w:ascii="HG丸ｺﾞｼｯｸM-PRO" w:hAnsi="HG丸ｺﾞｼｯｸM-PRO" w:eastAsia="HG丸ｺﾞｼｯｸM-PRO"/>
                          <w:b w:val="1"/>
                          <w:color w:val="000000"/>
                        </w:rPr>
                        <w:t>［注意事項］</w:t>
                      </w:r>
                    </w:p>
                    <w:p>
                      <w:pPr>
                        <w:pStyle w:val="23"/>
                        <w:spacing w:before="0" w:beforeLines="0" w:beforeAutospacing="0" w:after="0" w:afterLines="0" w:afterAutospacing="0"/>
                        <w:rPr>
                          <w:rFonts w:hint="default"/>
                        </w:rPr>
                      </w:pPr>
                      <w:r>
                        <w:rPr>
                          <w:rFonts w:hint="eastAsia" w:ascii="Calibri" w:hAnsi="Calibri"/>
                          <w:color w:val="000000"/>
                          <w:sz w:val="20"/>
                        </w:rPr>
                        <w:t>　　１．この資料は、令和２年３月までに総務省統計局から公表された平成３０年住宅・土地統計調査「住宅</w:t>
                      </w:r>
                    </w:p>
                    <w:p>
                      <w:pPr>
                        <w:pStyle w:val="23"/>
                        <w:spacing w:before="0" w:beforeLines="0" w:beforeAutospacing="0" w:after="0" w:afterLines="0" w:afterAutospacing="0"/>
                        <w:rPr>
                          <w:rFonts w:hint="default"/>
                        </w:rPr>
                      </w:pPr>
                      <w:r>
                        <w:rPr>
                          <w:rFonts w:hint="eastAsia" w:ascii="Calibri" w:hAnsi="Calibri"/>
                          <w:color w:val="000000"/>
                          <w:sz w:val="20"/>
                        </w:rPr>
                        <w:t>　　　及び世帯に関する基本集計」、「住宅の構造等に関する集計」、「土地集計」のうち、秋田県分の集計</w:t>
                      </w:r>
                    </w:p>
                    <w:p>
                      <w:pPr>
                        <w:pStyle w:val="23"/>
                        <w:spacing w:before="0" w:beforeLines="0" w:beforeAutospacing="0" w:after="0" w:afterLines="0" w:afterAutospacing="0"/>
                        <w:rPr>
                          <w:rFonts w:hint="default"/>
                        </w:rPr>
                      </w:pPr>
                      <w:r>
                        <w:rPr>
                          <w:rFonts w:hint="eastAsia" w:ascii="Calibri" w:hAnsi="Calibri"/>
                          <w:color w:val="000000"/>
                          <w:sz w:val="20"/>
                        </w:rPr>
                        <w:t>　　　結果についてその概要をとりまとめたものです。</w:t>
                      </w:r>
                    </w:p>
                    <w:p>
                      <w:pPr>
                        <w:pStyle w:val="23"/>
                        <w:spacing w:before="0" w:beforeLines="0" w:beforeAutospacing="0" w:after="0" w:afterLines="0" w:afterAutospacing="0"/>
                        <w:rPr>
                          <w:rFonts w:hint="default"/>
                        </w:rPr>
                      </w:pPr>
                      <w:r>
                        <w:rPr>
                          <w:rFonts w:hint="eastAsia" w:ascii="Calibri" w:hAnsi="Calibri"/>
                          <w:color w:val="000000"/>
                          <w:sz w:val="20"/>
                        </w:rPr>
                        <w:t>　　　　確報集計の結果の概要、統計表や用語の解説等については、総務省統計局のホームページ</w:t>
                      </w:r>
                    </w:p>
                    <w:p>
                      <w:pPr>
                        <w:pStyle w:val="23"/>
                        <w:spacing w:before="0" w:beforeLines="0" w:beforeAutospacing="0" w:after="0" w:afterLines="0" w:afterAutospacing="0"/>
                        <w:rPr>
                          <w:rFonts w:hint="default"/>
                        </w:rPr>
                      </w:pPr>
                      <w:r>
                        <w:rPr>
                          <w:rFonts w:hint="eastAsia" w:ascii="Calibri" w:hAnsi="Calibri"/>
                          <w:color w:val="000000"/>
                          <w:sz w:val="20"/>
                        </w:rPr>
                        <w:t>　　　　（</w:t>
                      </w:r>
                      <w:r>
                        <w:rPr>
                          <w:rFonts w:hint="eastAsia"/>
                          <w:b w:val="1"/>
                          <w:color w:val="000000"/>
                          <w:sz w:val="20"/>
                          <w:u w:val="single" w:color="auto"/>
                        </w:rPr>
                        <w:t>http://http://www.stat.go.jp/data/jyutaku/index.html</w:t>
                      </w:r>
                      <w:r>
                        <w:rPr>
                          <w:rFonts w:hint="eastAsia" w:ascii="Calibri" w:hAnsi="Calibri"/>
                          <w:color w:val="000000"/>
                          <w:sz w:val="20"/>
                        </w:rPr>
                        <w:t>）をご覧ください。</w:t>
                      </w:r>
                    </w:p>
                    <w:p>
                      <w:pPr>
                        <w:pStyle w:val="23"/>
                        <w:spacing w:before="0" w:beforeLines="0" w:beforeAutospacing="0" w:after="0" w:afterLines="0" w:afterAutospacing="0"/>
                        <w:ind w:left="562" w:hanging="562" w:hangingChars="300"/>
                        <w:rPr>
                          <w:rFonts w:hint="default"/>
                          <w:color w:val="000000"/>
                          <w:sz w:val="20"/>
                        </w:rPr>
                      </w:pPr>
                      <w:r>
                        <w:rPr>
                          <w:rFonts w:hint="eastAsia"/>
                          <w:color w:val="000000"/>
                          <w:sz w:val="20"/>
                        </w:rPr>
                        <w:t>　　２．本文中及び各統計表の数値は、</w:t>
                      </w:r>
                      <w:r>
                        <w:rPr>
                          <w:rFonts w:hint="eastAsia"/>
                          <w:color w:val="000000"/>
                          <w:sz w:val="20"/>
                        </w:rPr>
                        <w:t>10</w:t>
                      </w:r>
                      <w:r>
                        <w:rPr>
                          <w:rFonts w:hint="eastAsia"/>
                          <w:color w:val="000000"/>
                          <w:sz w:val="20"/>
                        </w:rPr>
                        <w:t>位を四捨五入して</w:t>
                      </w:r>
                      <w:r>
                        <w:rPr>
                          <w:rFonts w:hint="eastAsia"/>
                          <w:color w:val="000000"/>
                          <w:sz w:val="20"/>
                        </w:rPr>
                        <w:t>100</w:t>
                      </w:r>
                      <w:r>
                        <w:rPr>
                          <w:rFonts w:hint="eastAsia"/>
                          <w:color w:val="000000"/>
                          <w:sz w:val="20"/>
                        </w:rPr>
                        <w:t>位までを有効数字として表章しているため、総数と内訳の合計は必ずしも一致しない場合があります。</w:t>
                      </w:r>
                    </w:p>
                    <w:p>
                      <w:pPr>
                        <w:pStyle w:val="23"/>
                        <w:spacing w:before="0" w:beforeLines="0" w:beforeAutospacing="0" w:after="0" w:afterLines="0" w:afterAutospacing="0"/>
                        <w:rPr>
                          <w:rFonts w:hint="default"/>
                        </w:rPr>
                      </w:pPr>
                      <w:r>
                        <w:rPr>
                          <w:rFonts w:hint="eastAsia"/>
                          <w:color w:val="000000"/>
                          <w:sz w:val="20"/>
                        </w:rPr>
                        <w:t>　　３．本文の統計表中で使用している記号等の意味は、次のとおりです。</w:t>
                      </w:r>
                    </w:p>
                    <w:p>
                      <w:pPr>
                        <w:pStyle w:val="23"/>
                        <w:spacing w:before="0" w:beforeLines="0" w:beforeAutospacing="0" w:after="0" w:afterLines="0" w:afterAutospacing="0"/>
                        <w:rPr>
                          <w:rFonts w:hint="default"/>
                        </w:rPr>
                      </w:pPr>
                      <w:r>
                        <w:rPr>
                          <w:rFonts w:hint="eastAsia"/>
                          <w:color w:val="000000"/>
                          <w:sz w:val="20"/>
                        </w:rPr>
                        <w:t>　　　　・「…」は調査又は集計したが該当数字がないもの、又は数字が得られないものを示しています。</w:t>
                      </w:r>
                    </w:p>
                    <w:p>
                      <w:pPr>
                        <w:pStyle w:val="23"/>
                        <w:spacing w:before="0" w:beforeLines="0" w:beforeAutospacing="0" w:after="0" w:afterLines="0" w:afterAutospacing="0"/>
                        <w:rPr>
                          <w:rFonts w:hint="default"/>
                        </w:rPr>
                      </w:pPr>
                      <w:r>
                        <w:rPr>
                          <w:rFonts w:hint="eastAsia"/>
                          <w:color w:val="000000"/>
                          <w:sz w:val="20"/>
                        </w:rPr>
                        <w:t>　　　　・「０」は調査又は集計したが、該当数字が表章単位に満たないものを示しています。</w:t>
                      </w:r>
                    </w:p>
                    <w:p>
                      <w:pPr>
                        <w:pStyle w:val="23"/>
                        <w:spacing w:before="0" w:beforeLines="0" w:beforeAutospacing="0" w:after="0" w:afterLines="0" w:afterAutospacing="0"/>
                        <w:rPr>
                          <w:rFonts w:hint="default"/>
                        </w:rPr>
                      </w:pPr>
                      <w:r>
                        <w:rPr>
                          <w:rFonts w:hint="eastAsia" w:ascii="HG丸ｺﾞｼｯｸM-PRO" w:hAnsi="HG丸ｺﾞｼｯｸM-PRO" w:eastAsia="HG丸ｺﾞｼｯｸM-PRO"/>
                          <w:b w:val="1"/>
                          <w:color w:val="000000"/>
                          <w:sz w:val="20"/>
                        </w:rPr>
                        <w:t>［問い合わせ先］</w:t>
                      </w:r>
                    </w:p>
                    <w:p>
                      <w:pPr>
                        <w:pStyle w:val="23"/>
                        <w:spacing w:before="0" w:beforeLines="0" w:beforeAutospacing="0" w:after="0" w:afterLines="0" w:afterAutospacing="0"/>
                        <w:rPr>
                          <w:rFonts w:hint="default"/>
                        </w:rPr>
                      </w:pPr>
                      <w:r>
                        <w:rPr>
                          <w:rFonts w:hint="eastAsia"/>
                          <w:color w:val="000000"/>
                          <w:sz w:val="20"/>
                        </w:rPr>
                        <w:t>　</w:t>
                      </w:r>
                      <w:r>
                        <w:rPr>
                          <w:rFonts w:hint="eastAsia"/>
                          <w:color w:val="000000"/>
                          <w:sz w:val="20"/>
                        </w:rPr>
                        <w:t xml:space="preserve"> </w:t>
                      </w:r>
                      <w:r>
                        <w:rPr>
                          <w:rFonts w:hint="eastAsia"/>
                          <w:color w:val="000000"/>
                          <w:sz w:val="20"/>
                        </w:rPr>
                        <w:t>秋田県企画振興部調査統計課　生活統計班　</w:t>
                      </w:r>
                    </w:p>
                    <w:p>
                      <w:pPr>
                        <w:pStyle w:val="23"/>
                        <w:spacing w:before="0" w:beforeLines="0" w:beforeAutospacing="0" w:after="0" w:afterLines="0" w:afterAutospacing="0"/>
                        <w:rPr>
                          <w:rFonts w:hint="default"/>
                        </w:rPr>
                      </w:pPr>
                      <w:r>
                        <w:rPr>
                          <w:rFonts w:hint="eastAsia"/>
                          <w:color w:val="000000"/>
                          <w:sz w:val="20"/>
                        </w:rPr>
                        <w:t>　　</w:t>
                      </w:r>
                      <w:r>
                        <w:rPr>
                          <w:rFonts w:hint="eastAsia"/>
                          <w:color w:val="000000"/>
                          <w:sz w:val="20"/>
                        </w:rPr>
                        <w:t xml:space="preserve">  </w:t>
                      </w:r>
                      <w:r>
                        <w:rPr>
                          <w:rFonts w:hint="eastAsia"/>
                          <w:color w:val="000000"/>
                          <w:sz w:val="20"/>
                        </w:rPr>
                        <w:t>ＴＥＬ：０１８－８６０－１２５８　ＦＡＸ：０１８－８６０－１２５２　Ｅ</w:t>
                      </w:r>
                      <w:r>
                        <w:rPr>
                          <w:rFonts w:hint="eastAsia"/>
                          <w:color w:val="000000"/>
                          <w:sz w:val="20"/>
                        </w:rPr>
                        <w:t>-</w:t>
                      </w:r>
                      <w:r>
                        <w:rPr>
                          <w:rFonts w:hint="eastAsia"/>
                          <w:color w:val="000000"/>
                          <w:sz w:val="20"/>
                        </w:rPr>
                        <w:t>ｍａｉｌ　</w:t>
                      </w:r>
                      <w:r>
                        <w:rPr>
                          <w:rFonts w:hint="eastAsia"/>
                          <w:color w:val="000000"/>
                          <w:sz w:val="20"/>
                        </w:rPr>
                        <w:t>toukeika@pref.akita.lg.jp</w:t>
                      </w:r>
                    </w:p>
                  </w:txbxContent>
                </v:textbox>
                <v:imagedata o:title=""/>
                <w10:wrap type="none" anchorx="text" anchory="text"/>
              </v:shape>
            </w:pict>
          </mc:Fallback>
        </mc:AlternateContent>
      </w:r>
    </w:p>
    <w:p w14:paraId="3D94A8FF" w14:textId="77777777" w:rsidR="00086DAA" w:rsidRDefault="00086DAA">
      <w:pPr>
        <w:jc w:val="left"/>
        <w:rPr>
          <w:rFonts w:ascii="ＭＳ Ｐゴシック" w:eastAsia="ＭＳ Ｐゴシック" w:hAnsi="ＭＳ Ｐゴシック"/>
          <w:sz w:val="24"/>
        </w:rPr>
      </w:pPr>
    </w:p>
    <w:p w14:paraId="0B2425E4" w14:textId="77777777" w:rsidR="00086DAA" w:rsidRDefault="00086DAA">
      <w:pPr>
        <w:jc w:val="left"/>
        <w:rPr>
          <w:rFonts w:ascii="ＭＳ Ｐゴシック" w:eastAsia="ＭＳ Ｐゴシック" w:hAnsi="ＭＳ Ｐゴシック"/>
          <w:sz w:val="24"/>
        </w:rPr>
      </w:pPr>
    </w:p>
    <w:p w14:paraId="04CE5AD9" w14:textId="77777777" w:rsidR="00086DAA" w:rsidRDefault="00086DAA">
      <w:pPr>
        <w:jc w:val="left"/>
        <w:rPr>
          <w:rFonts w:ascii="ＭＳ Ｐゴシック" w:eastAsia="ＭＳ Ｐゴシック" w:hAnsi="ＭＳ Ｐゴシック"/>
          <w:sz w:val="24"/>
        </w:rPr>
      </w:pPr>
    </w:p>
    <w:p w14:paraId="7B7FE117" w14:textId="77777777" w:rsidR="00086DAA" w:rsidRDefault="00086DAA">
      <w:pPr>
        <w:jc w:val="left"/>
        <w:rPr>
          <w:rFonts w:ascii="ＭＳ Ｐゴシック" w:eastAsia="ＭＳ Ｐゴシック" w:hAnsi="ＭＳ Ｐゴシック"/>
          <w:sz w:val="24"/>
        </w:rPr>
      </w:pPr>
    </w:p>
    <w:p w14:paraId="73EB1A46" w14:textId="77777777" w:rsidR="00086DAA" w:rsidRDefault="00086DAA">
      <w:pPr>
        <w:jc w:val="left"/>
        <w:rPr>
          <w:rFonts w:ascii="ＭＳ Ｐゴシック" w:eastAsia="ＭＳ Ｐゴシック" w:hAnsi="ＭＳ Ｐゴシック"/>
          <w:sz w:val="24"/>
        </w:rPr>
      </w:pPr>
    </w:p>
    <w:p w14:paraId="1D5BF76D" w14:textId="77777777" w:rsidR="00086DAA" w:rsidRDefault="00086DAA">
      <w:pPr>
        <w:jc w:val="left"/>
        <w:rPr>
          <w:rFonts w:ascii="ＭＳ Ｐゴシック" w:eastAsia="ＭＳ Ｐゴシック" w:hAnsi="ＭＳ Ｐゴシック"/>
          <w:sz w:val="24"/>
        </w:rPr>
      </w:pPr>
    </w:p>
    <w:p w14:paraId="6C2FDE25" w14:textId="77777777" w:rsidR="00086DAA" w:rsidRDefault="00086DAA">
      <w:pPr>
        <w:jc w:val="left"/>
        <w:rPr>
          <w:rFonts w:ascii="ＭＳ Ｐゴシック" w:eastAsia="ＭＳ Ｐゴシック" w:hAnsi="ＭＳ Ｐゴシック"/>
          <w:sz w:val="24"/>
        </w:rPr>
      </w:pPr>
    </w:p>
    <w:p w14:paraId="036A3193" w14:textId="77777777" w:rsidR="00086DAA" w:rsidRDefault="00086DAA">
      <w:pPr>
        <w:jc w:val="left"/>
        <w:rPr>
          <w:rFonts w:ascii="ＭＳ Ｐゴシック" w:eastAsia="ＭＳ Ｐゴシック" w:hAnsi="ＭＳ Ｐゴシック"/>
          <w:sz w:val="24"/>
        </w:rPr>
      </w:pPr>
    </w:p>
    <w:p w14:paraId="1BFC78E5" w14:textId="77777777" w:rsidR="00086DAA" w:rsidRDefault="00086DAA">
      <w:pPr>
        <w:jc w:val="left"/>
        <w:rPr>
          <w:rFonts w:ascii="ＭＳ Ｐゴシック" w:eastAsia="ＭＳ Ｐゴシック" w:hAnsi="ＭＳ Ｐゴシック"/>
          <w:sz w:val="24"/>
        </w:rPr>
      </w:pPr>
    </w:p>
    <w:p w14:paraId="3FB6AE47" w14:textId="77777777" w:rsidR="00086DAA" w:rsidRDefault="00086DAA">
      <w:pPr>
        <w:jc w:val="left"/>
        <w:rPr>
          <w:rFonts w:ascii="ＭＳ Ｐゴシック" w:eastAsia="ＭＳ Ｐゴシック" w:hAnsi="ＭＳ Ｐゴシック"/>
          <w:sz w:val="24"/>
        </w:rPr>
      </w:pPr>
    </w:p>
    <w:p w14:paraId="5E489F66" w14:textId="77777777" w:rsidR="00086DAA" w:rsidRDefault="00086DAA">
      <w:pPr>
        <w:jc w:val="left"/>
        <w:rPr>
          <w:rFonts w:ascii="ＭＳ Ｐゴシック" w:eastAsia="ＭＳ Ｐゴシック" w:hAnsi="ＭＳ Ｐゴシック"/>
          <w:sz w:val="24"/>
        </w:rPr>
      </w:pPr>
    </w:p>
    <w:p w14:paraId="23180272" w14:textId="77777777" w:rsidR="00086DAA" w:rsidRDefault="00086DAA">
      <w:pPr>
        <w:jc w:val="left"/>
        <w:rPr>
          <w:rFonts w:ascii="ＭＳ Ｐゴシック" w:eastAsia="ＭＳ Ｐゴシック" w:hAnsi="ＭＳ Ｐゴシック"/>
          <w:sz w:val="24"/>
        </w:rPr>
      </w:pPr>
    </w:p>
    <w:p w14:paraId="6B228296" w14:textId="77777777" w:rsidR="00086DAA" w:rsidRDefault="00086DAA">
      <w:pPr>
        <w:jc w:val="left"/>
        <w:rPr>
          <w:rFonts w:ascii="ＭＳ Ｐゴシック" w:eastAsia="ＭＳ Ｐゴシック" w:hAnsi="ＭＳ Ｐゴシック"/>
          <w:sz w:val="24"/>
        </w:rPr>
      </w:pPr>
    </w:p>
    <w:p w14:paraId="25F8B705" w14:textId="77777777" w:rsidR="00086DAA" w:rsidRDefault="00086DAA">
      <w:pPr>
        <w:jc w:val="left"/>
        <w:rPr>
          <w:rFonts w:ascii="ＭＳ Ｐゴシック" w:eastAsia="ＭＳ Ｐゴシック" w:hAnsi="ＭＳ Ｐゴシック"/>
          <w:sz w:val="24"/>
        </w:rPr>
      </w:pPr>
    </w:p>
    <w:p w14:paraId="5191FE7A" w14:textId="77777777" w:rsidR="00086DAA" w:rsidRDefault="00086DAA">
      <w:pPr>
        <w:jc w:val="left"/>
        <w:rPr>
          <w:rFonts w:ascii="ＭＳ Ｐゴシック" w:eastAsia="ＭＳ Ｐゴシック" w:hAnsi="ＭＳ Ｐゴシック"/>
          <w:sz w:val="24"/>
        </w:rPr>
      </w:pPr>
    </w:p>
    <w:p w14:paraId="68DC68FB" w14:textId="77777777" w:rsidR="00086DAA" w:rsidRDefault="005541F6">
      <w:pPr>
        <w:widowControl/>
        <w:jc w:val="left"/>
        <w:rPr>
          <w:rFonts w:ascii="ＭＳ Ｐゴシック" w:eastAsia="ＭＳ Ｐゴシック" w:hAnsi="ＭＳ Ｐゴシック"/>
          <w:sz w:val="24"/>
        </w:rPr>
      </w:pPr>
      <w:r>
        <w:rPr>
          <w:rFonts w:ascii="ＭＳ Ｐゴシック" w:eastAsia="ＭＳ Ｐゴシック" w:hAnsi="ＭＳ Ｐゴシック"/>
          <w:sz w:val="24"/>
        </w:rPr>
        <w:br w:type="page"/>
      </w:r>
    </w:p>
    <w:p w14:paraId="6AB45D24" w14:textId="77777777" w:rsidR="00086DAA" w:rsidRDefault="005541F6">
      <w:pPr>
        <w:jc w:val="center"/>
        <w:rPr>
          <w:rFonts w:asciiTheme="majorEastAsia" w:eastAsiaTheme="majorEastAsia" w:hAnsiTheme="majorEastAsia"/>
          <w:sz w:val="40"/>
        </w:rPr>
      </w:pPr>
      <w:r>
        <w:rPr>
          <w:rFonts w:asciiTheme="majorEastAsia" w:eastAsiaTheme="majorEastAsia" w:hAnsiTheme="majorEastAsia" w:hint="eastAsia"/>
          <w:sz w:val="40"/>
        </w:rPr>
        <w:lastRenderedPageBreak/>
        <w:t>《　目　　　次　》</w:t>
      </w:r>
    </w:p>
    <w:p w14:paraId="246626DD" w14:textId="77777777" w:rsidR="00086DAA" w:rsidRDefault="00086DAA">
      <w:pPr>
        <w:jc w:val="left"/>
        <w:rPr>
          <w:rFonts w:asciiTheme="majorEastAsia" w:eastAsiaTheme="majorEastAsia" w:hAnsiTheme="majorEastAsia"/>
          <w:sz w:val="24"/>
        </w:rPr>
      </w:pPr>
    </w:p>
    <w:p w14:paraId="7DEDBEA1" w14:textId="77777777" w:rsidR="00086DAA" w:rsidRDefault="005541F6">
      <w:pPr>
        <w:jc w:val="left"/>
        <w:rPr>
          <w:rFonts w:asciiTheme="majorEastAsia" w:eastAsiaTheme="majorEastAsia" w:hAnsiTheme="majorEastAsia"/>
          <w:color w:val="000000"/>
          <w:kern w:val="0"/>
          <w:sz w:val="28"/>
        </w:rPr>
      </w:pPr>
      <w:r>
        <w:rPr>
          <w:rFonts w:asciiTheme="majorEastAsia" w:eastAsiaTheme="majorEastAsia" w:hAnsiTheme="majorEastAsia" w:hint="eastAsia"/>
          <w:b/>
          <w:color w:val="000000"/>
          <w:kern w:val="0"/>
          <w:sz w:val="28"/>
        </w:rPr>
        <w:t>【住宅・土地統計調査の概要】・・・</w:t>
      </w:r>
      <w:r>
        <w:rPr>
          <w:rFonts w:asciiTheme="majorEastAsia" w:eastAsiaTheme="majorEastAsia" w:hAnsiTheme="majorEastAsia" w:hint="eastAsia"/>
          <w:color w:val="000000"/>
          <w:kern w:val="0"/>
          <w:sz w:val="28"/>
        </w:rPr>
        <w:t>・・・・・・・・・・・・　　　　１～３</w:t>
      </w:r>
    </w:p>
    <w:p w14:paraId="24B7183B" w14:textId="77777777" w:rsidR="00086DAA" w:rsidRDefault="00086DAA">
      <w:pPr>
        <w:jc w:val="left"/>
        <w:rPr>
          <w:rFonts w:asciiTheme="majorEastAsia" w:eastAsiaTheme="majorEastAsia" w:hAnsiTheme="majorEastAsia"/>
          <w:color w:val="000000"/>
          <w:kern w:val="0"/>
          <w:sz w:val="28"/>
        </w:rPr>
      </w:pPr>
    </w:p>
    <w:p w14:paraId="1F295F16" w14:textId="77777777" w:rsidR="00086DAA" w:rsidRDefault="005541F6">
      <w:pPr>
        <w:jc w:val="left"/>
        <w:rPr>
          <w:rFonts w:asciiTheme="majorEastAsia" w:eastAsiaTheme="majorEastAsia" w:hAnsiTheme="majorEastAsia"/>
          <w:color w:val="000000"/>
          <w:kern w:val="0"/>
          <w:sz w:val="28"/>
        </w:rPr>
      </w:pPr>
      <w:r>
        <w:rPr>
          <w:rFonts w:asciiTheme="majorEastAsia" w:eastAsiaTheme="majorEastAsia" w:hAnsiTheme="majorEastAsia" w:hint="eastAsia"/>
          <w:b/>
          <w:color w:val="000000"/>
          <w:kern w:val="0"/>
          <w:sz w:val="28"/>
        </w:rPr>
        <w:t xml:space="preserve">【平成３０年住宅・土地統計調査　秋田県の要約】・・・・・・　　　　</w:t>
      </w:r>
      <w:r>
        <w:rPr>
          <w:rFonts w:asciiTheme="majorEastAsia" w:eastAsiaTheme="majorEastAsia" w:hAnsiTheme="majorEastAsia" w:hint="eastAsia"/>
          <w:color w:val="000000"/>
          <w:kern w:val="0"/>
          <w:sz w:val="28"/>
        </w:rPr>
        <w:t>４～６</w:t>
      </w:r>
    </w:p>
    <w:p w14:paraId="113185B1" w14:textId="77777777" w:rsidR="00086DAA" w:rsidRDefault="00086DAA">
      <w:pPr>
        <w:jc w:val="left"/>
        <w:rPr>
          <w:rFonts w:asciiTheme="majorEastAsia" w:eastAsiaTheme="majorEastAsia" w:hAnsiTheme="majorEastAsia"/>
          <w:b/>
          <w:color w:val="000000"/>
          <w:kern w:val="0"/>
          <w:sz w:val="28"/>
        </w:rPr>
      </w:pPr>
    </w:p>
    <w:p w14:paraId="33E2A1B5" w14:textId="77777777" w:rsidR="00086DAA" w:rsidRDefault="005541F6">
      <w:pPr>
        <w:jc w:val="left"/>
        <w:rPr>
          <w:rFonts w:asciiTheme="majorEastAsia" w:eastAsiaTheme="majorEastAsia" w:hAnsiTheme="majorEastAsia"/>
          <w:sz w:val="24"/>
        </w:rPr>
      </w:pPr>
      <w:r>
        <w:rPr>
          <w:rFonts w:asciiTheme="majorEastAsia" w:eastAsiaTheme="majorEastAsia" w:hAnsiTheme="majorEastAsia" w:hint="eastAsia"/>
          <w:b/>
          <w:color w:val="000000"/>
          <w:kern w:val="0"/>
          <w:sz w:val="28"/>
        </w:rPr>
        <w:t xml:space="preserve">【平成３０年住宅・土地統計調査　秋田県の概要】・・・・・・　　　</w:t>
      </w:r>
      <w:r>
        <w:rPr>
          <w:rFonts w:asciiTheme="majorEastAsia" w:eastAsiaTheme="majorEastAsia" w:hAnsiTheme="majorEastAsia" w:hint="eastAsia"/>
          <w:color w:val="000000"/>
          <w:kern w:val="0"/>
          <w:sz w:val="28"/>
        </w:rPr>
        <w:t>７～３５</w:t>
      </w:r>
    </w:p>
    <w:p w14:paraId="18625E65" w14:textId="77777777" w:rsidR="00086DAA" w:rsidRDefault="00086DAA">
      <w:pPr>
        <w:jc w:val="left"/>
        <w:rPr>
          <w:rFonts w:asciiTheme="majorEastAsia" w:eastAsiaTheme="majorEastAsia" w:hAnsiTheme="majorEastAsia"/>
          <w:sz w:val="24"/>
        </w:rPr>
      </w:pPr>
    </w:p>
    <w:p w14:paraId="10CC00AB" w14:textId="77777777" w:rsidR="00086DAA" w:rsidRDefault="005541F6">
      <w:pPr>
        <w:jc w:val="left"/>
        <w:rPr>
          <w:rFonts w:asciiTheme="majorEastAsia" w:eastAsiaTheme="majorEastAsia" w:hAnsiTheme="majorEastAsia"/>
          <w:sz w:val="24"/>
        </w:rPr>
      </w:pPr>
      <w:r>
        <w:rPr>
          <w:rFonts w:asciiTheme="majorEastAsia" w:eastAsiaTheme="majorEastAsia" w:hAnsiTheme="majorEastAsia" w:hint="eastAsia"/>
          <w:sz w:val="24"/>
        </w:rPr>
        <w:t>Ⅰ　住宅・世帯の概況</w:t>
      </w:r>
    </w:p>
    <w:p w14:paraId="7D424788"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１　総住宅数と総世帯　・・・・・・・・・・・・・・・・・・・・・・・・・　　７</w:t>
      </w:r>
    </w:p>
    <w:p w14:paraId="72BF1B13"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２　居住世帯の有無　・・・・・・・・・・・・・・・・・・・・・・・・・・　　８</w:t>
      </w:r>
    </w:p>
    <w:p w14:paraId="287E8CAF" w14:textId="77777777" w:rsidR="00086DAA" w:rsidRDefault="00086DAA">
      <w:pPr>
        <w:jc w:val="left"/>
        <w:rPr>
          <w:rFonts w:asciiTheme="majorEastAsia" w:eastAsiaTheme="majorEastAsia" w:hAnsiTheme="majorEastAsia"/>
          <w:sz w:val="24"/>
        </w:rPr>
      </w:pPr>
    </w:p>
    <w:p w14:paraId="19E7D4E4" w14:textId="77777777" w:rsidR="00086DAA" w:rsidRDefault="005541F6">
      <w:pPr>
        <w:jc w:val="left"/>
        <w:rPr>
          <w:rFonts w:asciiTheme="majorEastAsia" w:eastAsiaTheme="majorEastAsia" w:hAnsiTheme="majorEastAsia"/>
          <w:sz w:val="24"/>
        </w:rPr>
      </w:pPr>
      <w:r>
        <w:rPr>
          <w:rFonts w:asciiTheme="majorEastAsia" w:eastAsiaTheme="majorEastAsia" w:hAnsiTheme="majorEastAsia" w:hint="eastAsia"/>
          <w:sz w:val="24"/>
        </w:rPr>
        <w:t>Ⅱ　住宅の状況</w:t>
      </w:r>
    </w:p>
    <w:p w14:paraId="6DDEF4F5"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１　住宅の種類　・・・・・・・・・・・・・・・・・・・・・・・・・・・・　１０</w:t>
      </w:r>
    </w:p>
    <w:p w14:paraId="1D685BCF"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２　住宅の建て方・構造　・・・・・・・・・・・・・・・・・・・・・・・・　１１</w:t>
      </w:r>
    </w:p>
    <w:p w14:paraId="4796D0F7"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３　建築の時期　・・・・・・・・・・・・・・・・・・・・・・・・・・・・　１６</w:t>
      </w:r>
    </w:p>
    <w:p w14:paraId="7FDB797B"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４　所有の関係　・・・・・・・・・・・・・・・・・・・・・・・・・・・・　１７</w:t>
      </w:r>
    </w:p>
    <w:p w14:paraId="21D05726"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５　住宅の規模</w:t>
      </w:r>
      <w:r>
        <w:rPr>
          <w:rFonts w:asciiTheme="majorEastAsia" w:eastAsiaTheme="majorEastAsia" w:hAnsiTheme="majorEastAsia" w:hint="eastAsia"/>
          <w:sz w:val="24"/>
        </w:rPr>
        <w:t xml:space="preserve">　・・・・・・・・・・・・・・・・・・・・・・・・・・・・　１９</w:t>
      </w:r>
    </w:p>
    <w:p w14:paraId="50AC2332"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６　住宅の設備　・・・・・・・・・・・・・・・・・・・・・・・・・・・・　２０</w:t>
      </w:r>
    </w:p>
    <w:p w14:paraId="76CF1F8F"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７　増改築・改修工事等　・・・・・・・・・・・・・・・・・・・・・・・・　２２</w:t>
      </w:r>
    </w:p>
    <w:p w14:paraId="02FAAE75" w14:textId="77777777" w:rsidR="00086DAA" w:rsidRDefault="00086DAA">
      <w:pPr>
        <w:jc w:val="left"/>
        <w:rPr>
          <w:rFonts w:asciiTheme="majorEastAsia" w:eastAsiaTheme="majorEastAsia" w:hAnsiTheme="majorEastAsia"/>
          <w:sz w:val="24"/>
        </w:rPr>
      </w:pPr>
    </w:p>
    <w:p w14:paraId="66037B92" w14:textId="77777777" w:rsidR="00086DAA" w:rsidRDefault="005541F6">
      <w:pPr>
        <w:jc w:val="left"/>
        <w:rPr>
          <w:rFonts w:asciiTheme="majorEastAsia" w:eastAsiaTheme="majorEastAsia" w:hAnsiTheme="majorEastAsia"/>
          <w:sz w:val="24"/>
        </w:rPr>
      </w:pPr>
      <w:r>
        <w:rPr>
          <w:rFonts w:asciiTheme="majorEastAsia" w:eastAsiaTheme="majorEastAsia" w:hAnsiTheme="majorEastAsia" w:hint="eastAsia"/>
          <w:sz w:val="24"/>
        </w:rPr>
        <w:t>Ⅲ　高齢者のいる世帯</w:t>
      </w:r>
    </w:p>
    <w:p w14:paraId="2EA86B4E"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１　世帯数の推移　・・・・・・・・・・・・・・・・・・・・・・・・・・・　２４</w:t>
      </w:r>
    </w:p>
    <w:p w14:paraId="0E2962F6"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２　住宅の建て方・所有の関係　・・・・・・・・・・・・・・・・・・・・・　２６</w:t>
      </w:r>
    </w:p>
    <w:p w14:paraId="64C61FC0"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３　高齢者等のための設備工事　・・・・・・・・・・・・・・・・・・・・・　２８</w:t>
      </w:r>
    </w:p>
    <w:p w14:paraId="1FBD0548"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４　子の居住地　・・・</w:t>
      </w:r>
      <w:r>
        <w:rPr>
          <w:rFonts w:asciiTheme="majorEastAsia" w:eastAsiaTheme="majorEastAsia" w:hAnsiTheme="majorEastAsia" w:hint="eastAsia"/>
          <w:sz w:val="24"/>
        </w:rPr>
        <w:t>・・・・・・・・・・・・・・・・・・・・・・・・・　２９</w:t>
      </w:r>
    </w:p>
    <w:p w14:paraId="318070A7" w14:textId="77777777" w:rsidR="00086DAA" w:rsidRDefault="00086DAA">
      <w:pPr>
        <w:jc w:val="left"/>
        <w:rPr>
          <w:rFonts w:asciiTheme="majorEastAsia" w:eastAsiaTheme="majorEastAsia" w:hAnsiTheme="majorEastAsia"/>
          <w:sz w:val="24"/>
        </w:rPr>
      </w:pPr>
    </w:p>
    <w:p w14:paraId="276E73D0" w14:textId="77777777" w:rsidR="00086DAA" w:rsidRDefault="005541F6">
      <w:pPr>
        <w:jc w:val="left"/>
        <w:rPr>
          <w:rFonts w:asciiTheme="majorEastAsia" w:eastAsiaTheme="majorEastAsia" w:hAnsiTheme="majorEastAsia"/>
          <w:sz w:val="24"/>
        </w:rPr>
      </w:pPr>
      <w:r>
        <w:rPr>
          <w:rFonts w:asciiTheme="majorEastAsia" w:eastAsiaTheme="majorEastAsia" w:hAnsiTheme="majorEastAsia" w:hint="eastAsia"/>
          <w:sz w:val="24"/>
        </w:rPr>
        <w:t>Ⅳ　住宅・土地の所有の概況</w:t>
      </w:r>
    </w:p>
    <w:p w14:paraId="535DAE6E"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１　住宅・土地の所有状況　・・・・・・・・・・・・・・・・・・・・・・・　３１</w:t>
      </w:r>
    </w:p>
    <w:p w14:paraId="4BF990D2"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２　年齢階級別住宅・土地の所有状況　・・・・・・・・・・・・・・・・・・　３３</w:t>
      </w:r>
    </w:p>
    <w:p w14:paraId="4035A07B"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３　従業上の地位別住宅・土地の所有状況　・・・・・・・・・・・・・・・・　３４</w:t>
      </w:r>
    </w:p>
    <w:p w14:paraId="645A6081" w14:textId="77777777" w:rsidR="00086DAA" w:rsidRDefault="005541F6">
      <w:pPr>
        <w:ind w:leftChars="202" w:left="398"/>
        <w:jc w:val="left"/>
        <w:rPr>
          <w:rFonts w:asciiTheme="majorEastAsia" w:eastAsiaTheme="majorEastAsia" w:hAnsiTheme="majorEastAsia"/>
          <w:sz w:val="24"/>
        </w:rPr>
      </w:pPr>
      <w:r>
        <w:rPr>
          <w:rFonts w:asciiTheme="majorEastAsia" w:eastAsiaTheme="majorEastAsia" w:hAnsiTheme="majorEastAsia" w:hint="eastAsia"/>
          <w:sz w:val="24"/>
        </w:rPr>
        <w:t>４　世帯の年間収入階級別住宅・土地の所有状況　・・・・・・・・・・・・・　３５</w:t>
      </w:r>
    </w:p>
    <w:p w14:paraId="7A351C30" w14:textId="77777777" w:rsidR="00086DAA" w:rsidRDefault="00086DAA">
      <w:pPr>
        <w:jc w:val="left"/>
        <w:rPr>
          <w:rFonts w:asciiTheme="majorEastAsia" w:eastAsiaTheme="majorEastAsia" w:hAnsiTheme="majorEastAsia"/>
          <w:sz w:val="24"/>
        </w:rPr>
      </w:pPr>
    </w:p>
    <w:p w14:paraId="628749C8" w14:textId="77777777" w:rsidR="00086DAA" w:rsidRDefault="005541F6">
      <w:pPr>
        <w:jc w:val="left"/>
        <w:rPr>
          <w:rFonts w:asciiTheme="majorEastAsia" w:eastAsiaTheme="majorEastAsia" w:hAnsiTheme="majorEastAsia"/>
          <w:sz w:val="24"/>
        </w:rPr>
      </w:pPr>
      <w:r>
        <w:rPr>
          <w:rFonts w:asciiTheme="majorEastAsia" w:eastAsiaTheme="majorEastAsia" w:hAnsiTheme="majorEastAsia" w:hint="eastAsia"/>
          <w:b/>
          <w:color w:val="000000"/>
          <w:kern w:val="0"/>
          <w:sz w:val="28"/>
        </w:rPr>
        <w:t xml:space="preserve">【都道府県の主な指標】・・・・・・・・・・・・・・・・・・　</w:t>
      </w:r>
      <w:r>
        <w:rPr>
          <w:rFonts w:asciiTheme="majorEastAsia" w:eastAsiaTheme="majorEastAsia" w:hAnsiTheme="majorEastAsia" w:hint="eastAsia"/>
          <w:color w:val="000000"/>
          <w:kern w:val="0"/>
          <w:sz w:val="28"/>
        </w:rPr>
        <w:t>３６～３９</w:t>
      </w:r>
    </w:p>
    <w:p w14:paraId="7B2670AB" w14:textId="77777777" w:rsidR="00086DAA" w:rsidRDefault="00086DAA">
      <w:pPr>
        <w:jc w:val="left"/>
        <w:rPr>
          <w:rFonts w:asciiTheme="majorEastAsia" w:eastAsiaTheme="majorEastAsia" w:hAnsiTheme="majorEastAsia"/>
          <w:b/>
          <w:sz w:val="28"/>
        </w:rPr>
      </w:pPr>
    </w:p>
    <w:p w14:paraId="0CBD495C" w14:textId="77777777" w:rsidR="00086DAA" w:rsidRDefault="005541F6">
      <w:pPr>
        <w:widowControl/>
        <w:jc w:val="left"/>
        <w:rPr>
          <w:rFonts w:asciiTheme="majorEastAsia" w:eastAsiaTheme="majorEastAsia" w:hAnsiTheme="majorEastAsia"/>
          <w:b/>
          <w:sz w:val="24"/>
        </w:rPr>
      </w:pPr>
      <w:r>
        <w:rPr>
          <w:rFonts w:asciiTheme="majorEastAsia" w:eastAsiaTheme="majorEastAsia" w:hAnsiTheme="majorEastAsia"/>
          <w:b/>
          <w:sz w:val="24"/>
        </w:rPr>
        <w:br w:type="page"/>
      </w:r>
    </w:p>
    <w:p w14:paraId="54B3FE00" w14:textId="77777777" w:rsidR="00086DAA" w:rsidRDefault="00086DAA">
      <w:pPr>
        <w:rPr>
          <w:rFonts w:asciiTheme="majorEastAsia" w:eastAsiaTheme="majorEastAsia" w:hAnsiTheme="majorEastAsia"/>
          <w:b/>
          <w:sz w:val="32"/>
        </w:rPr>
        <w:sectPr w:rsidR="00086DAA">
          <w:pgSz w:w="11906" w:h="16838"/>
          <w:pgMar w:top="1021" w:right="1021" w:bottom="1021" w:left="1021" w:header="851" w:footer="680" w:gutter="0"/>
          <w:pgNumType w:fmt="numberInDash" w:start="1"/>
          <w:cols w:space="720"/>
          <w:docGrid w:type="linesAndChars" w:linePitch="328" w:charSpace="-2606"/>
        </w:sectPr>
      </w:pPr>
    </w:p>
    <w:p w14:paraId="18242CF4" w14:textId="77777777" w:rsidR="00086DAA" w:rsidRDefault="005541F6">
      <w:pPr>
        <w:jc w:val="left"/>
        <w:rPr>
          <w:rFonts w:asciiTheme="majorEastAsia" w:eastAsiaTheme="majorEastAsia" w:hAnsiTheme="majorEastAsia"/>
          <w:b/>
          <w:sz w:val="28"/>
        </w:rPr>
      </w:pPr>
      <w:r>
        <w:rPr>
          <w:rFonts w:asciiTheme="majorEastAsia" w:eastAsiaTheme="majorEastAsia" w:hAnsiTheme="majorEastAsia" w:hint="eastAsia"/>
          <w:b/>
          <w:sz w:val="28"/>
        </w:rPr>
        <w:lastRenderedPageBreak/>
        <w:t>【住宅・土地統計調査の概要】</w:t>
      </w:r>
    </w:p>
    <w:p w14:paraId="3EDD5625" w14:textId="77777777" w:rsidR="00086DAA" w:rsidRDefault="00086DAA">
      <w:pPr>
        <w:jc w:val="left"/>
        <w:rPr>
          <w:rFonts w:asciiTheme="minorEastAsia" w:hAnsiTheme="minorEastAsia"/>
          <w:sz w:val="22"/>
        </w:rPr>
      </w:pPr>
    </w:p>
    <w:p w14:paraId="4C3EAA8C" w14:textId="77777777" w:rsidR="00086DAA" w:rsidRDefault="005541F6">
      <w:pPr>
        <w:jc w:val="left"/>
        <w:rPr>
          <w:rFonts w:asciiTheme="majorEastAsia" w:eastAsiaTheme="majorEastAsia" w:hAnsiTheme="majorEastAsia"/>
          <w:b/>
          <w:sz w:val="24"/>
        </w:rPr>
      </w:pPr>
      <w:r>
        <w:rPr>
          <w:rFonts w:asciiTheme="majorEastAsia" w:eastAsiaTheme="majorEastAsia" w:hAnsiTheme="majorEastAsia" w:hint="eastAsia"/>
          <w:b/>
          <w:sz w:val="24"/>
        </w:rPr>
        <w:t>１　調査の目的及び沿革</w:t>
      </w:r>
    </w:p>
    <w:p w14:paraId="1B21A649" w14:textId="77777777" w:rsidR="00086DAA" w:rsidRDefault="005541F6">
      <w:pPr>
        <w:pStyle w:val="Web"/>
        <w:spacing w:before="0" w:beforeAutospacing="0" w:after="0" w:afterAutospacing="0"/>
        <w:ind w:leftChars="202" w:left="398" w:firstLineChars="117" w:firstLine="243"/>
        <w:rPr>
          <w:rFonts w:ascii="ＭＳ 明朝" w:eastAsia="ＭＳ 明朝" w:hAnsi="ＭＳ 明朝"/>
          <w:color w:val="000000"/>
          <w:sz w:val="22"/>
        </w:rPr>
      </w:pPr>
      <w:r>
        <w:rPr>
          <w:rFonts w:ascii="ＭＳ 明朝" w:eastAsia="ＭＳ 明朝" w:hAnsi="ＭＳ 明朝" w:hint="eastAsia"/>
          <w:color w:val="000000"/>
          <w:sz w:val="22"/>
        </w:rPr>
        <w:t>住宅・土地統計調査は、我が国における住戸住宅及び住宅以外で人が居住する建物に関する実態並びに現住居以外の住宅及び土地の保有状況、住環境などに関する実態を調査し、その現状と推移を全国及び地域別に明らかにすることにより、住生活関連諸施策の基礎資料を得ることを目的としています。調査は昭和</w:t>
      </w:r>
      <w:r>
        <w:rPr>
          <w:rFonts w:ascii="ＭＳ 明朝" w:eastAsia="ＭＳ 明朝" w:hAnsi="ＭＳ 明朝" w:hint="eastAsia"/>
          <w:color w:val="000000"/>
          <w:sz w:val="22"/>
        </w:rPr>
        <w:t>23</w:t>
      </w:r>
      <w:r>
        <w:rPr>
          <w:rFonts w:ascii="ＭＳ 明朝" w:eastAsia="ＭＳ 明朝" w:hAnsi="ＭＳ 明朝" w:hint="eastAsia"/>
          <w:color w:val="000000"/>
          <w:sz w:val="22"/>
        </w:rPr>
        <w:t>年以来</w:t>
      </w:r>
      <w:r>
        <w:rPr>
          <w:rFonts w:ascii="ＭＳ 明朝" w:eastAsia="ＭＳ 明朝" w:hAnsi="ＭＳ 明朝" w:hint="eastAsia"/>
          <w:color w:val="000000"/>
          <w:sz w:val="22"/>
        </w:rPr>
        <w:t>5</w:t>
      </w:r>
      <w:r>
        <w:rPr>
          <w:rFonts w:ascii="ＭＳ 明朝" w:eastAsia="ＭＳ 明朝" w:hAnsi="ＭＳ 明朝" w:hint="eastAsia"/>
          <w:color w:val="000000"/>
          <w:sz w:val="22"/>
        </w:rPr>
        <w:t>年ごとに実施しており、平成</w:t>
      </w:r>
      <w:r>
        <w:rPr>
          <w:rFonts w:ascii="ＭＳ 明朝" w:eastAsia="ＭＳ 明朝" w:hAnsi="ＭＳ 明朝" w:hint="eastAsia"/>
          <w:color w:val="000000"/>
          <w:sz w:val="22"/>
        </w:rPr>
        <w:t>30</w:t>
      </w:r>
      <w:r>
        <w:rPr>
          <w:rFonts w:ascii="ＭＳ 明朝" w:eastAsia="ＭＳ 明朝" w:hAnsi="ＭＳ 明朝" w:hint="eastAsia"/>
          <w:color w:val="000000"/>
          <w:sz w:val="22"/>
        </w:rPr>
        <w:t>年調査はその</w:t>
      </w:r>
      <w:r>
        <w:rPr>
          <w:rFonts w:ascii="ＭＳ 明朝" w:eastAsia="ＭＳ 明朝" w:hAnsi="ＭＳ 明朝" w:hint="eastAsia"/>
          <w:color w:val="000000"/>
          <w:sz w:val="22"/>
        </w:rPr>
        <w:t>15</w:t>
      </w:r>
      <w:r>
        <w:rPr>
          <w:rFonts w:ascii="ＭＳ 明朝" w:eastAsia="ＭＳ 明朝" w:hAnsi="ＭＳ 明朝" w:hint="eastAsia"/>
          <w:color w:val="000000"/>
          <w:sz w:val="22"/>
        </w:rPr>
        <w:t>回目に当たります。</w:t>
      </w:r>
    </w:p>
    <w:p w14:paraId="74F507CC" w14:textId="77777777" w:rsidR="00086DAA" w:rsidRDefault="00086DAA">
      <w:pPr>
        <w:pStyle w:val="Web"/>
        <w:spacing w:before="0" w:beforeAutospacing="0" w:after="0" w:afterAutospacing="0"/>
        <w:ind w:left="1"/>
        <w:rPr>
          <w:rFonts w:ascii="ＭＳ ゴシック" w:eastAsia="ＭＳ ゴシック" w:hAnsi="ＭＳ ゴシック"/>
          <w:b/>
          <w:color w:val="000000"/>
        </w:rPr>
      </w:pPr>
    </w:p>
    <w:p w14:paraId="77390FAC" w14:textId="77777777" w:rsidR="00086DAA" w:rsidRDefault="005541F6">
      <w:pPr>
        <w:pStyle w:val="Web"/>
        <w:spacing w:before="0" w:beforeAutospacing="0" w:after="0" w:afterAutospacing="0"/>
        <w:ind w:left="1"/>
        <w:rPr>
          <w:rFonts w:ascii="ＭＳ ゴシック" w:eastAsia="ＭＳ ゴシック" w:hAnsi="ＭＳ ゴシック"/>
          <w:b/>
        </w:rPr>
      </w:pPr>
      <w:r>
        <w:rPr>
          <w:rFonts w:ascii="ＭＳ ゴシック" w:eastAsia="ＭＳ ゴシック" w:hAnsi="ＭＳ ゴシック"/>
          <w:b/>
        </w:rPr>
        <w:t>２　調査期日</w:t>
      </w:r>
    </w:p>
    <w:p w14:paraId="631B2F58" w14:textId="77777777" w:rsidR="00086DAA" w:rsidRDefault="005541F6">
      <w:pPr>
        <w:ind w:leftChars="202" w:left="398"/>
        <w:jc w:val="left"/>
        <w:rPr>
          <w:rFonts w:asciiTheme="minorEastAsia" w:hAnsiTheme="minorEastAsia"/>
          <w:sz w:val="22"/>
        </w:rPr>
      </w:pPr>
      <w:r>
        <w:rPr>
          <w:rFonts w:asciiTheme="minorEastAsia" w:hAnsiTheme="minorEastAsia"/>
          <w:sz w:val="22"/>
        </w:rPr>
        <w:t>平成３０年１０月１日現在</w:t>
      </w:r>
    </w:p>
    <w:p w14:paraId="24F43889" w14:textId="77777777" w:rsidR="00086DAA" w:rsidRDefault="00086DAA">
      <w:pPr>
        <w:jc w:val="left"/>
        <w:rPr>
          <w:rFonts w:asciiTheme="majorEastAsia" w:eastAsiaTheme="majorEastAsia" w:hAnsiTheme="majorEastAsia"/>
          <w:sz w:val="24"/>
        </w:rPr>
      </w:pPr>
    </w:p>
    <w:p w14:paraId="48299305" w14:textId="77777777" w:rsidR="00086DAA" w:rsidRDefault="005541F6">
      <w:pPr>
        <w:jc w:val="left"/>
        <w:rPr>
          <w:rFonts w:asciiTheme="majorEastAsia" w:eastAsiaTheme="majorEastAsia" w:hAnsiTheme="majorEastAsia"/>
          <w:b/>
          <w:sz w:val="24"/>
        </w:rPr>
      </w:pPr>
      <w:r>
        <w:rPr>
          <w:rFonts w:asciiTheme="majorEastAsia" w:eastAsiaTheme="majorEastAsia" w:hAnsiTheme="majorEastAsia" w:hint="eastAsia"/>
          <w:b/>
          <w:sz w:val="24"/>
        </w:rPr>
        <w:t>３　調査方法</w:t>
      </w:r>
    </w:p>
    <w:p w14:paraId="7DFA09F1" w14:textId="77777777" w:rsidR="00086DAA" w:rsidRDefault="005541F6">
      <w:pPr>
        <w:pStyle w:val="Web"/>
        <w:numPr>
          <w:ilvl w:val="0"/>
          <w:numId w:val="1"/>
        </w:numPr>
        <w:spacing w:before="0" w:beforeAutospacing="0" w:after="0" w:afterAutospacing="0"/>
        <w:rPr>
          <w:rFonts w:ascii="ＭＳ 明朝" w:eastAsia="ＭＳ 明朝" w:hAnsi="ＭＳ 明朝"/>
          <w:sz w:val="22"/>
        </w:rPr>
      </w:pPr>
      <w:r>
        <w:rPr>
          <w:rFonts w:ascii="ＭＳ 明朝" w:eastAsia="ＭＳ 明朝" w:hAnsi="ＭＳ 明朝" w:hint="eastAsia"/>
          <w:color w:val="000000"/>
          <w:sz w:val="22"/>
        </w:rPr>
        <w:t>調査は調査員、調査員の事務を一部行う指導員（以下「調査員等」という。）が下記のとおり実施しまし</w:t>
      </w:r>
      <w:r>
        <w:rPr>
          <w:rFonts w:ascii="ＭＳ 明朝" w:eastAsia="ＭＳ 明朝" w:hAnsi="ＭＳ 明朝" w:hint="eastAsia"/>
          <w:color w:val="000000"/>
          <w:sz w:val="22"/>
        </w:rPr>
        <w:t>た。</w:t>
      </w:r>
    </w:p>
    <w:p w14:paraId="7C5C6EAA" w14:textId="77777777" w:rsidR="00086DAA" w:rsidRDefault="00086DAA">
      <w:pPr>
        <w:pStyle w:val="Web"/>
        <w:spacing w:before="0" w:beforeAutospacing="0" w:after="0" w:afterAutospacing="0"/>
        <w:ind w:left="426"/>
        <w:rPr>
          <w:rFonts w:ascii="ＭＳ 明朝" w:eastAsia="ＭＳ 明朝" w:hAnsi="ＭＳ 明朝"/>
          <w:sz w:val="22"/>
        </w:rPr>
      </w:pPr>
    </w:p>
    <w:p w14:paraId="010E6360" w14:textId="77777777" w:rsidR="00086DAA" w:rsidRDefault="005541F6">
      <w:pPr>
        <w:pStyle w:val="Web"/>
        <w:spacing w:before="0" w:beforeAutospacing="0" w:after="0" w:afterAutospacing="0"/>
        <w:ind w:leftChars="546" w:left="1311" w:hangingChars="113" w:hanging="234"/>
        <w:rPr>
          <w:rFonts w:ascii="ＭＳ 明朝" w:eastAsia="ＭＳ 明朝" w:hAnsi="ＭＳ 明朝"/>
          <w:sz w:val="22"/>
        </w:rPr>
      </w:pPr>
      <w:r>
        <w:rPr>
          <w:rFonts w:ascii="ＭＳ 明朝" w:eastAsia="ＭＳ 明朝" w:hAnsi="ＭＳ 明朝" w:hint="eastAsia"/>
          <w:sz w:val="22"/>
        </w:rPr>
        <w:t>●調査員等は、担当する調査区内の調査対象世帯（以下「世帯」という。）にインターネット回答用の調査書類を世帯の郵便受けに入れる等して配布しました。世帯は</w:t>
      </w:r>
      <w:r>
        <w:rPr>
          <w:rFonts w:ascii="ＭＳ 明朝" w:eastAsia="ＭＳ 明朝" w:hAnsi="ＭＳ 明朝" w:hint="eastAsia"/>
          <w:sz w:val="22"/>
        </w:rPr>
        <w:t>9</w:t>
      </w:r>
      <w:r>
        <w:rPr>
          <w:rFonts w:ascii="ＭＳ 明朝" w:eastAsia="ＭＳ 明朝" w:hAnsi="ＭＳ 明朝" w:hint="eastAsia"/>
          <w:sz w:val="22"/>
        </w:rPr>
        <w:t>月</w:t>
      </w:r>
      <w:r>
        <w:rPr>
          <w:rFonts w:ascii="ＭＳ 明朝" w:eastAsia="ＭＳ 明朝" w:hAnsi="ＭＳ 明朝" w:hint="eastAsia"/>
          <w:sz w:val="22"/>
        </w:rPr>
        <w:t>15</w:t>
      </w:r>
      <w:r>
        <w:rPr>
          <w:rFonts w:ascii="ＭＳ 明朝" w:eastAsia="ＭＳ 明朝" w:hAnsi="ＭＳ 明朝" w:hint="eastAsia"/>
          <w:sz w:val="22"/>
        </w:rPr>
        <w:t>日（土曜日）～</w:t>
      </w:r>
      <w:r>
        <w:rPr>
          <w:rFonts w:ascii="ＭＳ 明朝" w:eastAsia="ＭＳ 明朝" w:hAnsi="ＭＳ 明朝" w:hint="eastAsia"/>
          <w:sz w:val="22"/>
        </w:rPr>
        <w:t>10</w:t>
      </w:r>
      <w:r>
        <w:rPr>
          <w:rFonts w:ascii="ＭＳ 明朝" w:eastAsia="ＭＳ 明朝" w:hAnsi="ＭＳ 明朝" w:hint="eastAsia"/>
          <w:sz w:val="22"/>
        </w:rPr>
        <w:t>月</w:t>
      </w:r>
      <w:r>
        <w:rPr>
          <w:rFonts w:ascii="ＭＳ 明朝" w:eastAsia="ＭＳ 明朝" w:hAnsi="ＭＳ 明朝" w:hint="eastAsia"/>
          <w:sz w:val="22"/>
        </w:rPr>
        <w:t>8</w:t>
      </w:r>
      <w:r>
        <w:rPr>
          <w:rFonts w:ascii="ＭＳ 明朝" w:eastAsia="ＭＳ 明朝" w:hAnsi="ＭＳ 明朝" w:hint="eastAsia"/>
          <w:sz w:val="22"/>
        </w:rPr>
        <w:t>日（月曜日）の期間にインターネット回答を行いました。</w:t>
      </w:r>
    </w:p>
    <w:p w14:paraId="200717D8" w14:textId="77777777" w:rsidR="00086DAA" w:rsidRDefault="005541F6">
      <w:pPr>
        <w:pStyle w:val="Web"/>
        <w:spacing w:before="0" w:beforeAutospacing="0" w:after="0" w:afterAutospacing="0"/>
        <w:ind w:leftChars="546" w:left="1311" w:hangingChars="113" w:hanging="234"/>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hint="eastAsia"/>
          <w:sz w:val="22"/>
        </w:rPr>
        <w:t>9</w:t>
      </w:r>
      <w:r>
        <w:rPr>
          <w:rFonts w:ascii="ＭＳ 明朝" w:eastAsia="ＭＳ 明朝" w:hAnsi="ＭＳ 明朝" w:hint="eastAsia"/>
          <w:sz w:val="22"/>
        </w:rPr>
        <w:t>月中旬頃にインターネット回答のあった世帯を特定し、</w:t>
      </w:r>
      <w:r>
        <w:rPr>
          <w:rFonts w:ascii="ＭＳ 明朝" w:eastAsia="ＭＳ 明朝" w:hAnsi="ＭＳ 明朝" w:hint="eastAsia"/>
          <w:sz w:val="22"/>
        </w:rPr>
        <w:t>9</w:t>
      </w:r>
      <w:r>
        <w:rPr>
          <w:rFonts w:ascii="ＭＳ 明朝" w:eastAsia="ＭＳ 明朝" w:hAnsi="ＭＳ 明朝" w:hint="eastAsia"/>
          <w:sz w:val="22"/>
        </w:rPr>
        <w:t>月下旬に回答のなかった世帯に対し、調査員等が世帯を訪問し、紙の調査書類一式を配布しました。世帯はインターネットによる回答、記入した調査票を調査員等に提出する方法及び郵送により提出する方法により回答を行いました。</w:t>
      </w:r>
    </w:p>
    <w:p w14:paraId="4B2A7543" w14:textId="77777777" w:rsidR="00086DAA" w:rsidRDefault="005541F6">
      <w:pPr>
        <w:pStyle w:val="Web"/>
        <w:spacing w:before="0" w:beforeAutospacing="0" w:after="0" w:afterAutospacing="0"/>
        <w:ind w:leftChars="546" w:left="1311" w:hangingChars="113" w:hanging="234"/>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hint="eastAsia"/>
          <w:sz w:val="22"/>
        </w:rPr>
        <w:t>調査員等が建物の外観を確認したり、世帯や建物の管理者に確認するなどして、建物調査票を作成しました。</w:t>
      </w:r>
    </w:p>
    <w:p w14:paraId="36E16EBC" w14:textId="77777777" w:rsidR="00086DAA" w:rsidRDefault="00086DAA">
      <w:pPr>
        <w:ind w:leftChars="202" w:left="398"/>
        <w:jc w:val="left"/>
        <w:rPr>
          <w:rFonts w:ascii="ＭＳ 明朝" w:eastAsia="ＭＳ 明朝" w:hAnsi="ＭＳ 明朝"/>
          <w:b/>
          <w:sz w:val="22"/>
        </w:rPr>
      </w:pPr>
    </w:p>
    <w:p w14:paraId="0161E6EF" w14:textId="77777777" w:rsidR="00086DAA" w:rsidRDefault="005541F6">
      <w:pPr>
        <w:pStyle w:val="ab"/>
        <w:numPr>
          <w:ilvl w:val="0"/>
          <w:numId w:val="1"/>
        </w:numPr>
        <w:ind w:leftChars="0"/>
        <w:jc w:val="left"/>
        <w:rPr>
          <w:rFonts w:ascii="ＭＳ 明朝" w:eastAsia="ＭＳ 明朝" w:hAnsi="ＭＳ 明朝"/>
          <w:sz w:val="22"/>
        </w:rPr>
      </w:pPr>
      <w:r>
        <w:rPr>
          <w:rFonts w:ascii="ＭＳ 明朝" w:eastAsia="ＭＳ 明朝" w:hAnsi="ＭＳ 明朝" w:hint="eastAsia"/>
          <w:sz w:val="22"/>
        </w:rPr>
        <w:t>調査票は、調査単位区ごとに、甲又は乙のいずれか一方のみを配布しました。調査単位区の甲・乙の割り振りは、全国平均で</w:t>
      </w:r>
      <w:r>
        <w:rPr>
          <w:rFonts w:ascii="ＭＳ 明朝" w:eastAsia="ＭＳ 明朝" w:hAnsi="ＭＳ 明朝" w:hint="eastAsia"/>
          <w:sz w:val="22"/>
        </w:rPr>
        <w:t>6</w:t>
      </w:r>
      <w:r>
        <w:rPr>
          <w:rFonts w:ascii="ＭＳ 明朝" w:eastAsia="ＭＳ 明朝" w:hAnsi="ＭＳ 明朝" w:hint="eastAsia"/>
          <w:sz w:val="22"/>
        </w:rPr>
        <w:t>対</w:t>
      </w:r>
      <w:r>
        <w:rPr>
          <w:rFonts w:ascii="ＭＳ 明朝" w:eastAsia="ＭＳ 明朝" w:hAnsi="ＭＳ 明朝" w:hint="eastAsia"/>
          <w:sz w:val="22"/>
        </w:rPr>
        <w:t>1</w:t>
      </w:r>
      <w:r>
        <w:rPr>
          <w:rFonts w:ascii="ＭＳ 明朝" w:eastAsia="ＭＳ 明朝" w:hAnsi="ＭＳ 明朝" w:hint="eastAsia"/>
          <w:sz w:val="22"/>
        </w:rPr>
        <w:t>となるように行いました。</w:t>
      </w:r>
    </w:p>
    <w:p w14:paraId="23E520FD" w14:textId="77777777" w:rsidR="00086DAA" w:rsidRDefault="00086DAA">
      <w:pPr>
        <w:jc w:val="left"/>
        <w:rPr>
          <w:rFonts w:asciiTheme="majorEastAsia" w:eastAsiaTheme="majorEastAsia" w:hAnsiTheme="majorEastAsia"/>
          <w:sz w:val="24"/>
        </w:rPr>
      </w:pPr>
    </w:p>
    <w:p w14:paraId="282F4C4D" w14:textId="77777777" w:rsidR="00086DAA" w:rsidRDefault="005541F6">
      <w:pPr>
        <w:jc w:val="left"/>
        <w:rPr>
          <w:rFonts w:asciiTheme="majorEastAsia" w:eastAsiaTheme="majorEastAsia" w:hAnsiTheme="majorEastAsia"/>
          <w:b/>
          <w:sz w:val="24"/>
        </w:rPr>
      </w:pPr>
      <w:r>
        <w:rPr>
          <w:rFonts w:asciiTheme="majorEastAsia" w:eastAsiaTheme="majorEastAsia" w:hAnsiTheme="majorEastAsia" w:hint="eastAsia"/>
          <w:b/>
          <w:sz w:val="24"/>
        </w:rPr>
        <w:t>４　調査対象</w:t>
      </w:r>
    </w:p>
    <w:p w14:paraId="398EE267" w14:textId="77777777" w:rsidR="00086DAA" w:rsidRDefault="005541F6">
      <w:pPr>
        <w:ind w:leftChars="202" w:left="398" w:firstLineChars="117" w:firstLine="243"/>
        <w:jc w:val="left"/>
        <w:rPr>
          <w:rFonts w:asciiTheme="minorEastAsia" w:hAnsiTheme="minorEastAsia"/>
          <w:sz w:val="22"/>
        </w:rPr>
      </w:pPr>
      <w:r>
        <w:rPr>
          <w:rFonts w:asciiTheme="minorEastAsia" w:hAnsiTheme="minorEastAsia" w:hint="eastAsia"/>
          <w:sz w:val="22"/>
        </w:rPr>
        <w:t>調査期日において調査単位区内から抽出した住宅及び住宅以外で人が居住する建物並びにこれらに居住している世帯</w:t>
      </w:r>
      <w:r>
        <w:rPr>
          <w:rFonts w:asciiTheme="minorEastAsia" w:hAnsiTheme="minorEastAsia" w:hint="eastAsia"/>
          <w:sz w:val="22"/>
        </w:rPr>
        <w:t>(1</w:t>
      </w:r>
      <w:r>
        <w:rPr>
          <w:rFonts w:asciiTheme="minorEastAsia" w:hAnsiTheme="minorEastAsia" w:hint="eastAsia"/>
          <w:sz w:val="22"/>
        </w:rPr>
        <w:t>調査単位区当たり</w:t>
      </w:r>
      <w:r>
        <w:rPr>
          <w:rFonts w:asciiTheme="minorEastAsia" w:hAnsiTheme="minorEastAsia" w:hint="eastAsia"/>
          <w:sz w:val="22"/>
        </w:rPr>
        <w:t>17</w:t>
      </w:r>
      <w:r>
        <w:rPr>
          <w:rFonts w:asciiTheme="minorEastAsia" w:hAnsiTheme="minorEastAsia" w:hint="eastAsia"/>
          <w:sz w:val="22"/>
        </w:rPr>
        <w:t>住戸、計約</w:t>
      </w:r>
      <w:r>
        <w:rPr>
          <w:rFonts w:asciiTheme="minorEastAsia" w:hAnsiTheme="minorEastAsia" w:hint="eastAsia"/>
          <w:sz w:val="22"/>
        </w:rPr>
        <w:t>370</w:t>
      </w:r>
      <w:r>
        <w:rPr>
          <w:rFonts w:asciiTheme="minorEastAsia" w:hAnsiTheme="minorEastAsia" w:hint="eastAsia"/>
          <w:sz w:val="22"/>
        </w:rPr>
        <w:t>万住戸・世帯</w:t>
      </w:r>
      <w:r>
        <w:rPr>
          <w:rFonts w:asciiTheme="minorEastAsia" w:hAnsiTheme="minorEastAsia" w:hint="eastAsia"/>
          <w:sz w:val="22"/>
        </w:rPr>
        <w:t>)</w:t>
      </w:r>
      <w:r>
        <w:rPr>
          <w:rFonts w:asciiTheme="minorEastAsia" w:hAnsiTheme="minorEastAsia" w:hint="eastAsia"/>
          <w:sz w:val="22"/>
        </w:rPr>
        <w:t>を対象としました。</w:t>
      </w:r>
    </w:p>
    <w:p w14:paraId="399062FF" w14:textId="77777777" w:rsidR="00086DAA" w:rsidRDefault="005541F6">
      <w:pPr>
        <w:ind w:leftChars="202" w:left="398" w:firstLineChars="117" w:firstLine="243"/>
        <w:jc w:val="left"/>
        <w:rPr>
          <w:rFonts w:asciiTheme="minorEastAsia" w:hAnsiTheme="minorEastAsia"/>
          <w:sz w:val="22"/>
        </w:rPr>
      </w:pPr>
      <w:r>
        <w:rPr>
          <w:rFonts w:asciiTheme="minorEastAsia" w:hAnsiTheme="minorEastAsia" w:hint="eastAsia"/>
          <w:sz w:val="22"/>
        </w:rPr>
        <w:t>ただし、次に掲げる施設及びこれらに居住する世帯は、調査の対象から除外しました。</w:t>
      </w:r>
    </w:p>
    <w:p w14:paraId="73329D10" w14:textId="77777777" w:rsidR="00086DAA" w:rsidRDefault="00086DAA">
      <w:pPr>
        <w:jc w:val="left"/>
        <w:rPr>
          <w:rFonts w:asciiTheme="minorEastAsia" w:hAnsiTheme="minorEastAsia"/>
          <w:sz w:val="22"/>
        </w:rPr>
      </w:pPr>
    </w:p>
    <w:p w14:paraId="77C05323" w14:textId="77777777" w:rsidR="00086DAA" w:rsidRDefault="005541F6">
      <w:pPr>
        <w:pStyle w:val="ab"/>
        <w:numPr>
          <w:ilvl w:val="0"/>
          <w:numId w:val="2"/>
        </w:numPr>
        <w:ind w:leftChars="0"/>
        <w:jc w:val="left"/>
        <w:rPr>
          <w:rFonts w:asciiTheme="minorEastAsia" w:hAnsiTheme="minorEastAsia"/>
          <w:sz w:val="22"/>
        </w:rPr>
      </w:pPr>
      <w:r>
        <w:rPr>
          <w:rFonts w:asciiTheme="minorEastAsia" w:hAnsiTheme="minorEastAsia" w:hint="eastAsia"/>
          <w:sz w:val="22"/>
        </w:rPr>
        <w:t>外国の大使館・公使館、領事館その他の外国政府の公的機関や国際機関が管理している施設及び外交官・領事官やその随員</w:t>
      </w:r>
      <w:r>
        <w:rPr>
          <w:rFonts w:asciiTheme="minorEastAsia" w:hAnsiTheme="minorEastAsia" w:hint="eastAsia"/>
          <w:sz w:val="22"/>
        </w:rPr>
        <w:t>(</w:t>
      </w:r>
      <w:r>
        <w:rPr>
          <w:rFonts w:asciiTheme="minorEastAsia" w:hAnsiTheme="minorEastAsia" w:hint="eastAsia"/>
          <w:sz w:val="22"/>
        </w:rPr>
        <w:t>家族を含む。</w:t>
      </w:r>
      <w:r>
        <w:rPr>
          <w:rFonts w:asciiTheme="minorEastAsia" w:hAnsiTheme="minorEastAsia" w:hint="eastAsia"/>
          <w:sz w:val="22"/>
        </w:rPr>
        <w:t>)</w:t>
      </w:r>
      <w:r>
        <w:rPr>
          <w:rFonts w:asciiTheme="minorEastAsia" w:hAnsiTheme="minorEastAsia" w:hint="eastAsia"/>
          <w:sz w:val="22"/>
        </w:rPr>
        <w:t>が居住している住宅</w:t>
      </w:r>
    </w:p>
    <w:p w14:paraId="28426E50" w14:textId="77777777" w:rsidR="00086DAA" w:rsidRDefault="005541F6">
      <w:pPr>
        <w:pStyle w:val="ab"/>
        <w:numPr>
          <w:ilvl w:val="0"/>
          <w:numId w:val="2"/>
        </w:numPr>
        <w:ind w:leftChars="0"/>
        <w:jc w:val="left"/>
        <w:rPr>
          <w:rFonts w:asciiTheme="minorEastAsia" w:hAnsiTheme="minorEastAsia"/>
          <w:sz w:val="22"/>
        </w:rPr>
      </w:pPr>
      <w:r>
        <w:rPr>
          <w:rFonts w:asciiTheme="minorEastAsia" w:hAnsiTheme="minorEastAsia" w:hint="eastAsia"/>
          <w:sz w:val="22"/>
        </w:rPr>
        <w:t>皇室用財産である施設</w:t>
      </w:r>
    </w:p>
    <w:p w14:paraId="178EABA3" w14:textId="77777777" w:rsidR="00086DAA" w:rsidRDefault="005541F6">
      <w:pPr>
        <w:pStyle w:val="ab"/>
        <w:numPr>
          <w:ilvl w:val="0"/>
          <w:numId w:val="2"/>
        </w:numPr>
        <w:ind w:leftChars="0"/>
        <w:jc w:val="left"/>
        <w:rPr>
          <w:rFonts w:asciiTheme="minorEastAsia" w:hAnsiTheme="minorEastAsia"/>
          <w:sz w:val="22"/>
        </w:rPr>
      </w:pPr>
      <w:r>
        <w:rPr>
          <w:rFonts w:asciiTheme="minorEastAsia" w:hAnsiTheme="minorEastAsia" w:hint="eastAsia"/>
          <w:sz w:val="22"/>
        </w:rPr>
        <w:t>拘置所、刑務所、少年刑務所、少年院、少年鑑別所、婦人補導院及び入国者収容所</w:t>
      </w:r>
    </w:p>
    <w:p w14:paraId="575B4502" w14:textId="77777777" w:rsidR="00086DAA" w:rsidRDefault="005541F6">
      <w:pPr>
        <w:pStyle w:val="ab"/>
        <w:numPr>
          <w:ilvl w:val="0"/>
          <w:numId w:val="2"/>
        </w:numPr>
        <w:ind w:leftChars="0"/>
        <w:jc w:val="left"/>
        <w:rPr>
          <w:rFonts w:asciiTheme="minorEastAsia" w:hAnsiTheme="minorEastAsia"/>
          <w:sz w:val="22"/>
        </w:rPr>
      </w:pPr>
      <w:r>
        <w:rPr>
          <w:rFonts w:asciiTheme="minorEastAsia" w:hAnsiTheme="minorEastAsia" w:hint="eastAsia"/>
          <w:sz w:val="22"/>
        </w:rPr>
        <w:t>自衛隊の営舎その他の施設</w:t>
      </w:r>
    </w:p>
    <w:p w14:paraId="637351CA" w14:textId="77777777" w:rsidR="00086DAA" w:rsidRDefault="005541F6">
      <w:pPr>
        <w:pStyle w:val="ab"/>
        <w:numPr>
          <w:ilvl w:val="0"/>
          <w:numId w:val="2"/>
        </w:numPr>
        <w:ind w:leftChars="0"/>
        <w:jc w:val="left"/>
        <w:rPr>
          <w:rFonts w:asciiTheme="minorEastAsia" w:hAnsiTheme="minorEastAsia"/>
          <w:sz w:val="22"/>
        </w:rPr>
      </w:pPr>
      <w:r>
        <w:rPr>
          <w:rFonts w:asciiTheme="minorEastAsia" w:hAnsiTheme="minorEastAsia" w:hint="eastAsia"/>
          <w:sz w:val="22"/>
        </w:rPr>
        <w:t>在日米軍用施設</w:t>
      </w:r>
    </w:p>
    <w:p w14:paraId="5A159A15" w14:textId="77777777" w:rsidR="00086DAA" w:rsidRDefault="00086DAA">
      <w:pPr>
        <w:jc w:val="left"/>
        <w:rPr>
          <w:rFonts w:asciiTheme="minorEastAsia" w:hAnsiTheme="minorEastAsia"/>
          <w:sz w:val="22"/>
        </w:rPr>
      </w:pPr>
    </w:p>
    <w:p w14:paraId="09C50075" w14:textId="77777777" w:rsidR="00086DAA" w:rsidRDefault="005541F6">
      <w:pPr>
        <w:ind w:leftChars="202" w:left="398" w:firstLineChars="117" w:firstLine="243"/>
        <w:jc w:val="left"/>
        <w:rPr>
          <w:rFonts w:asciiTheme="minorEastAsia" w:hAnsiTheme="minorEastAsia"/>
          <w:sz w:val="22"/>
        </w:rPr>
      </w:pPr>
      <w:r>
        <w:rPr>
          <w:rFonts w:asciiTheme="minorEastAsia" w:hAnsiTheme="minorEastAsia" w:hint="eastAsia"/>
          <w:sz w:val="22"/>
        </w:rPr>
        <w:t>秋田県内では</w:t>
      </w:r>
      <w:r>
        <w:rPr>
          <w:rFonts w:asciiTheme="minorEastAsia" w:hAnsiTheme="minorEastAsia" w:hint="eastAsia"/>
          <w:sz w:val="22"/>
        </w:rPr>
        <w:t>2,254</w:t>
      </w:r>
      <w:r>
        <w:rPr>
          <w:rFonts w:asciiTheme="minorEastAsia" w:hAnsiTheme="minorEastAsia" w:hint="eastAsia"/>
          <w:sz w:val="22"/>
        </w:rPr>
        <w:t>単位区内から約</w:t>
      </w:r>
      <w:r>
        <w:rPr>
          <w:rFonts w:asciiTheme="minorEastAsia" w:hAnsiTheme="minorEastAsia" w:hint="eastAsia"/>
          <w:sz w:val="22"/>
        </w:rPr>
        <w:t>36,200</w:t>
      </w:r>
      <w:r>
        <w:rPr>
          <w:rFonts w:asciiTheme="minorEastAsia" w:hAnsiTheme="minorEastAsia" w:hint="eastAsia"/>
          <w:sz w:val="22"/>
        </w:rPr>
        <w:t>世帯が抽出され調査対象となりました。</w:t>
      </w:r>
    </w:p>
    <w:p w14:paraId="65AF4066" w14:textId="77777777" w:rsidR="00086DAA" w:rsidRDefault="005541F6">
      <w:pPr>
        <w:widowControl/>
        <w:jc w:val="left"/>
        <w:rPr>
          <w:rFonts w:asciiTheme="minorEastAsia" w:hAnsiTheme="minorEastAsia"/>
          <w:sz w:val="22"/>
        </w:rPr>
      </w:pPr>
      <w:r>
        <w:rPr>
          <w:rFonts w:asciiTheme="minorEastAsia" w:hAnsiTheme="minorEastAsia"/>
          <w:sz w:val="22"/>
        </w:rPr>
        <w:br w:type="page"/>
      </w:r>
    </w:p>
    <w:p w14:paraId="0F46763A" w14:textId="77777777" w:rsidR="00086DAA" w:rsidRDefault="005541F6">
      <w:pPr>
        <w:jc w:val="left"/>
        <w:rPr>
          <w:rFonts w:asciiTheme="majorEastAsia" w:eastAsiaTheme="majorEastAsia" w:hAnsiTheme="majorEastAsia"/>
          <w:b/>
          <w:sz w:val="24"/>
        </w:rPr>
      </w:pPr>
      <w:r>
        <w:rPr>
          <w:rFonts w:asciiTheme="majorEastAsia" w:eastAsiaTheme="majorEastAsia" w:hAnsiTheme="majorEastAsia" w:hint="eastAsia"/>
          <w:b/>
          <w:sz w:val="24"/>
        </w:rPr>
        <w:lastRenderedPageBreak/>
        <w:t>５　主な調査事項</w:t>
      </w:r>
    </w:p>
    <w:p w14:paraId="1D325B80" w14:textId="77777777" w:rsidR="00086DAA" w:rsidRDefault="005541F6">
      <w:pPr>
        <w:ind w:leftChars="202" w:left="398"/>
        <w:jc w:val="left"/>
        <w:rPr>
          <w:rFonts w:asciiTheme="minorEastAsia" w:hAnsiTheme="minorEastAsia"/>
          <w:sz w:val="22"/>
        </w:rPr>
      </w:pPr>
      <w:r>
        <w:rPr>
          <w:rFonts w:asciiTheme="minorEastAsia" w:hAnsiTheme="minorEastAsia" w:hint="eastAsia"/>
          <w:sz w:val="22"/>
        </w:rPr>
        <w:t>[</w:t>
      </w:r>
      <w:r>
        <w:rPr>
          <w:rFonts w:asciiTheme="minorEastAsia" w:hAnsiTheme="minorEastAsia" w:hint="eastAsia"/>
          <w:sz w:val="22"/>
        </w:rPr>
        <w:t>調査票甲・乙</w:t>
      </w:r>
      <w:r>
        <w:rPr>
          <w:rFonts w:asciiTheme="minorEastAsia" w:hAnsiTheme="minorEastAsia" w:hint="eastAsia"/>
          <w:sz w:val="22"/>
        </w:rPr>
        <w:t>]</w:t>
      </w:r>
    </w:p>
    <w:p w14:paraId="2FECFB78" w14:textId="77777777" w:rsidR="00086DAA" w:rsidRDefault="005541F6">
      <w:pPr>
        <w:pStyle w:val="ab"/>
        <w:numPr>
          <w:ilvl w:val="0"/>
          <w:numId w:val="3"/>
        </w:numPr>
        <w:ind w:leftChars="0"/>
        <w:jc w:val="left"/>
        <w:rPr>
          <w:rFonts w:asciiTheme="minorEastAsia" w:hAnsiTheme="minorEastAsia"/>
          <w:sz w:val="22"/>
        </w:rPr>
      </w:pPr>
      <w:r>
        <w:rPr>
          <w:rFonts w:asciiTheme="minorEastAsia" w:hAnsiTheme="minorEastAsia" w:hint="eastAsia"/>
          <w:sz w:val="22"/>
        </w:rPr>
        <w:t>世帯に関する事項</w:t>
      </w:r>
    </w:p>
    <w:p w14:paraId="3177E663"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ア　世帯主又は世帯の代表者の氏名</w:t>
      </w:r>
    </w:p>
    <w:p w14:paraId="5FCE3BDB"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イ　種類</w:t>
      </w:r>
    </w:p>
    <w:p w14:paraId="05DB1CE0"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ウ　構成</w:t>
      </w:r>
    </w:p>
    <w:p w14:paraId="41EF6875"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エ　年間収入</w:t>
      </w:r>
    </w:p>
    <w:p w14:paraId="18873B5B" w14:textId="77777777" w:rsidR="00086DAA" w:rsidRDefault="005541F6">
      <w:pPr>
        <w:pStyle w:val="ab"/>
        <w:numPr>
          <w:ilvl w:val="0"/>
          <w:numId w:val="3"/>
        </w:numPr>
        <w:ind w:leftChars="0"/>
        <w:jc w:val="left"/>
        <w:rPr>
          <w:rFonts w:asciiTheme="minorEastAsia" w:hAnsiTheme="minorEastAsia"/>
          <w:sz w:val="22"/>
        </w:rPr>
      </w:pPr>
      <w:r>
        <w:rPr>
          <w:rFonts w:asciiTheme="minorEastAsia" w:hAnsiTheme="minorEastAsia" w:hint="eastAsia"/>
          <w:sz w:val="22"/>
        </w:rPr>
        <w:t>家計を主に支える世帯員又は世帯主に関する事項</w:t>
      </w:r>
    </w:p>
    <w:p w14:paraId="16FCC649"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ア　従業上の地位</w:t>
      </w:r>
    </w:p>
    <w:p w14:paraId="7A4FA925"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イ　通勤時間</w:t>
      </w:r>
    </w:p>
    <w:p w14:paraId="5D18ED58"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ウ　子の住んでいる場所</w:t>
      </w:r>
    </w:p>
    <w:p w14:paraId="20564161"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エ　現住居に入居した時期</w:t>
      </w:r>
    </w:p>
    <w:p w14:paraId="2816FC1C"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オ　前住居に関する事項</w:t>
      </w:r>
    </w:p>
    <w:p w14:paraId="14D277CB" w14:textId="77777777" w:rsidR="00086DAA" w:rsidRDefault="005541F6">
      <w:pPr>
        <w:pStyle w:val="ab"/>
        <w:numPr>
          <w:ilvl w:val="0"/>
          <w:numId w:val="3"/>
        </w:numPr>
        <w:ind w:leftChars="0"/>
        <w:jc w:val="left"/>
        <w:rPr>
          <w:rFonts w:asciiTheme="minorEastAsia" w:hAnsiTheme="minorEastAsia"/>
          <w:sz w:val="22"/>
        </w:rPr>
      </w:pPr>
      <w:r>
        <w:rPr>
          <w:rFonts w:asciiTheme="minorEastAsia" w:hAnsiTheme="minorEastAsia"/>
          <w:sz w:val="22"/>
        </w:rPr>
        <w:t>住宅に関する事項</w:t>
      </w:r>
    </w:p>
    <w:p w14:paraId="694A745F"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ア　居住室の数及び広さ</w:t>
      </w:r>
    </w:p>
    <w:p w14:paraId="685F413E"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イ　所有関係に関する事項</w:t>
      </w:r>
    </w:p>
    <w:p w14:paraId="2956D479"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ウ　現住居の名義</w:t>
      </w:r>
    </w:p>
    <w:p w14:paraId="0321DD7C"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エ　家賃又は間代等に関する事項</w:t>
      </w:r>
    </w:p>
    <w:p w14:paraId="453A8203"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オ　床面積</w:t>
      </w:r>
    </w:p>
    <w:p w14:paraId="709A8E1F"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カ　建築時期</w:t>
      </w:r>
    </w:p>
    <w:p w14:paraId="744B34B8"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キ　設備に関する事項</w:t>
      </w:r>
    </w:p>
    <w:p w14:paraId="0432619F"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ク　住宅の建て替え等に関する事項</w:t>
      </w:r>
    </w:p>
    <w:p w14:paraId="1BD7BE19"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ケ　増改築及び改修工事に関する事項</w:t>
      </w:r>
    </w:p>
    <w:p w14:paraId="3EA47470"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コ　耐震に関する事項</w:t>
      </w:r>
    </w:p>
    <w:p w14:paraId="4613BEBC" w14:textId="77777777" w:rsidR="00086DAA" w:rsidRDefault="005541F6">
      <w:pPr>
        <w:pStyle w:val="ab"/>
        <w:numPr>
          <w:ilvl w:val="0"/>
          <w:numId w:val="3"/>
        </w:numPr>
        <w:ind w:leftChars="0"/>
        <w:jc w:val="left"/>
        <w:rPr>
          <w:rFonts w:asciiTheme="minorEastAsia" w:hAnsiTheme="minorEastAsia"/>
          <w:sz w:val="22"/>
        </w:rPr>
      </w:pPr>
      <w:r>
        <w:rPr>
          <w:rFonts w:asciiTheme="minorEastAsia" w:hAnsiTheme="minorEastAsia" w:hint="eastAsia"/>
          <w:sz w:val="22"/>
        </w:rPr>
        <w:t>現住居の敷地に関する事項</w:t>
      </w:r>
    </w:p>
    <w:p w14:paraId="7E890829"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ア　敷地の所有関係に関する事項</w:t>
      </w:r>
    </w:p>
    <w:p w14:paraId="6A0B133D"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イ　所有地の名義</w:t>
      </w:r>
    </w:p>
    <w:p w14:paraId="45EDFF39"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ウ　敷地面積</w:t>
      </w:r>
    </w:p>
    <w:p w14:paraId="56651568"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エ　取得方法・取得時期等</w:t>
      </w:r>
    </w:p>
    <w:p w14:paraId="7EF31F9A" w14:textId="77777777" w:rsidR="00086DAA" w:rsidRDefault="005541F6">
      <w:pPr>
        <w:pStyle w:val="ab"/>
        <w:numPr>
          <w:ilvl w:val="0"/>
          <w:numId w:val="3"/>
        </w:numPr>
        <w:ind w:leftChars="0"/>
        <w:jc w:val="left"/>
        <w:rPr>
          <w:rFonts w:asciiTheme="minorEastAsia" w:hAnsiTheme="minorEastAsia"/>
          <w:sz w:val="22"/>
        </w:rPr>
      </w:pPr>
      <w:r>
        <w:rPr>
          <w:rFonts w:asciiTheme="minorEastAsia" w:hAnsiTheme="minorEastAsia" w:hint="eastAsia"/>
          <w:sz w:val="22"/>
        </w:rPr>
        <w:t>現住居以外の住宅に関する事項</w:t>
      </w:r>
    </w:p>
    <w:p w14:paraId="50105B91"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ア　所有関係に関する事項</w:t>
      </w:r>
    </w:p>
    <w:p w14:paraId="1E95B700"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イ　利用に関する事項</w:t>
      </w:r>
    </w:p>
    <w:p w14:paraId="709A2EFF"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ウ　所在地</w:t>
      </w:r>
    </w:p>
    <w:p w14:paraId="6609EF16"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エ　建て方</w:t>
      </w:r>
    </w:p>
    <w:p w14:paraId="262601F9"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オ　取得方法</w:t>
      </w:r>
    </w:p>
    <w:p w14:paraId="1B268547"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カ　建築時期</w:t>
      </w:r>
    </w:p>
    <w:p w14:paraId="2FD3A3C6"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キ　居住世帯のない期間</w:t>
      </w:r>
    </w:p>
    <w:p w14:paraId="653EB87F" w14:textId="77777777" w:rsidR="00086DAA" w:rsidRDefault="005541F6">
      <w:pPr>
        <w:pStyle w:val="ab"/>
        <w:numPr>
          <w:ilvl w:val="0"/>
          <w:numId w:val="3"/>
        </w:numPr>
        <w:ind w:leftChars="0"/>
        <w:jc w:val="left"/>
        <w:rPr>
          <w:rFonts w:asciiTheme="minorEastAsia" w:hAnsiTheme="minorEastAsia"/>
          <w:sz w:val="22"/>
        </w:rPr>
      </w:pPr>
      <w:r>
        <w:rPr>
          <w:rFonts w:asciiTheme="minorEastAsia" w:hAnsiTheme="minorEastAsia" w:hint="eastAsia"/>
          <w:sz w:val="22"/>
        </w:rPr>
        <w:t>現住居以外の土地に関する事項</w:t>
      </w:r>
    </w:p>
    <w:p w14:paraId="3238CA9C"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ア　所有関係に関する事項</w:t>
      </w:r>
    </w:p>
    <w:p w14:paraId="47C1A0C8"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イ　利用に関する事項</w:t>
      </w:r>
    </w:p>
    <w:p w14:paraId="6A41F7E3"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ウ　所在地</w:t>
      </w:r>
    </w:p>
    <w:p w14:paraId="7FCFBA7E"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エ　面積に関する事項</w:t>
      </w:r>
    </w:p>
    <w:p w14:paraId="5F327DB7"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オ　取得方法</w:t>
      </w:r>
    </w:p>
    <w:p w14:paraId="2F0DBEC2" w14:textId="77777777" w:rsidR="00086DAA" w:rsidRDefault="005541F6">
      <w:pPr>
        <w:pStyle w:val="ab"/>
        <w:ind w:leftChars="0" w:left="1144"/>
        <w:jc w:val="left"/>
        <w:rPr>
          <w:rFonts w:asciiTheme="minorEastAsia" w:hAnsiTheme="minorEastAsia"/>
          <w:sz w:val="22"/>
        </w:rPr>
      </w:pPr>
      <w:r>
        <w:rPr>
          <w:rFonts w:asciiTheme="minorEastAsia" w:hAnsiTheme="minorEastAsia" w:hint="eastAsia"/>
          <w:sz w:val="22"/>
        </w:rPr>
        <w:t>カ　取得時期</w:t>
      </w:r>
    </w:p>
    <w:p w14:paraId="3D5BD3D2" w14:textId="77777777" w:rsidR="00086DAA" w:rsidRDefault="00086DAA">
      <w:pPr>
        <w:pStyle w:val="ab"/>
        <w:ind w:leftChars="0" w:left="0"/>
        <w:jc w:val="left"/>
        <w:rPr>
          <w:rFonts w:asciiTheme="minorEastAsia" w:hAnsiTheme="minorEastAsia"/>
          <w:sz w:val="22"/>
        </w:rPr>
      </w:pPr>
    </w:p>
    <w:p w14:paraId="06D9F3BD" w14:textId="77777777" w:rsidR="00086DAA" w:rsidRDefault="005541F6">
      <w:pPr>
        <w:pStyle w:val="ab"/>
        <w:ind w:leftChars="0" w:left="426"/>
        <w:jc w:val="left"/>
        <w:rPr>
          <w:rFonts w:asciiTheme="minorEastAsia" w:hAnsiTheme="minorEastAsia"/>
          <w:sz w:val="22"/>
        </w:rPr>
      </w:pPr>
      <w:r>
        <w:rPr>
          <w:rFonts w:asciiTheme="minorEastAsia" w:hAnsiTheme="minorEastAsia" w:hint="eastAsia"/>
          <w:sz w:val="22"/>
        </w:rPr>
        <w:lastRenderedPageBreak/>
        <w:t>[</w:t>
      </w:r>
      <w:r>
        <w:rPr>
          <w:rFonts w:asciiTheme="minorEastAsia" w:hAnsiTheme="minorEastAsia" w:hint="eastAsia"/>
          <w:sz w:val="22"/>
        </w:rPr>
        <w:t>建物調査票</w:t>
      </w:r>
      <w:r>
        <w:rPr>
          <w:rFonts w:asciiTheme="minorEastAsia" w:hAnsiTheme="minorEastAsia" w:hint="eastAsia"/>
          <w:sz w:val="22"/>
        </w:rPr>
        <w:t>]</w:t>
      </w:r>
    </w:p>
    <w:p w14:paraId="726841F8" w14:textId="77777777" w:rsidR="00086DAA" w:rsidRDefault="005541F6">
      <w:pPr>
        <w:pStyle w:val="ab"/>
        <w:numPr>
          <w:ilvl w:val="0"/>
          <w:numId w:val="4"/>
        </w:numPr>
        <w:ind w:leftChars="0"/>
        <w:jc w:val="left"/>
        <w:rPr>
          <w:rFonts w:asciiTheme="minorEastAsia" w:hAnsiTheme="minorEastAsia"/>
          <w:sz w:val="22"/>
        </w:rPr>
      </w:pPr>
      <w:r>
        <w:rPr>
          <w:rFonts w:asciiTheme="minorEastAsia" w:hAnsiTheme="minorEastAsia" w:hint="eastAsia"/>
          <w:sz w:val="22"/>
        </w:rPr>
        <w:t>住宅に関する事項</w:t>
      </w:r>
    </w:p>
    <w:p w14:paraId="24B7BCA9"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ア　世帯の存在しない住宅の種別</w:t>
      </w:r>
    </w:p>
    <w:p w14:paraId="37CD52B9"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イ　種類</w:t>
      </w:r>
    </w:p>
    <w:p w14:paraId="5AEB46F1" w14:textId="77777777" w:rsidR="00086DAA" w:rsidRDefault="005541F6">
      <w:pPr>
        <w:pStyle w:val="ab"/>
        <w:numPr>
          <w:ilvl w:val="0"/>
          <w:numId w:val="4"/>
        </w:numPr>
        <w:ind w:leftChars="0"/>
        <w:jc w:val="left"/>
        <w:rPr>
          <w:rFonts w:asciiTheme="minorEastAsia" w:hAnsiTheme="minorEastAsia"/>
          <w:sz w:val="22"/>
        </w:rPr>
      </w:pPr>
      <w:r>
        <w:rPr>
          <w:rFonts w:asciiTheme="minorEastAsia" w:hAnsiTheme="minorEastAsia" w:hint="eastAsia"/>
          <w:sz w:val="22"/>
        </w:rPr>
        <w:t>建物に関する事項</w:t>
      </w:r>
    </w:p>
    <w:p w14:paraId="0F0D6D30"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ア　建て方</w:t>
      </w:r>
    </w:p>
    <w:p w14:paraId="1122718E"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イ　構造</w:t>
      </w:r>
    </w:p>
    <w:p w14:paraId="716B0104"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ウ　腐朽・破損の有無</w:t>
      </w:r>
    </w:p>
    <w:p w14:paraId="3112EBA4"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エ　建物全体の階数</w:t>
      </w:r>
    </w:p>
    <w:p w14:paraId="3DE6CFB7"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オ　敷地に接している道路の幅員</w:t>
      </w:r>
    </w:p>
    <w:p w14:paraId="5ABB70DA"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カ　建物内総住宅数</w:t>
      </w:r>
    </w:p>
    <w:p w14:paraId="63E53F13" w14:textId="77777777" w:rsidR="00086DAA" w:rsidRDefault="005541F6">
      <w:pPr>
        <w:pStyle w:val="ab"/>
        <w:ind w:leftChars="0" w:left="1146"/>
        <w:jc w:val="left"/>
        <w:rPr>
          <w:rFonts w:asciiTheme="minorEastAsia" w:hAnsiTheme="minorEastAsia"/>
          <w:sz w:val="22"/>
        </w:rPr>
      </w:pPr>
      <w:r>
        <w:rPr>
          <w:rFonts w:asciiTheme="minorEastAsia" w:hAnsiTheme="minorEastAsia" w:hint="eastAsia"/>
          <w:sz w:val="22"/>
        </w:rPr>
        <w:t>キ　設備に関する事項</w:t>
      </w:r>
    </w:p>
    <w:p w14:paraId="6CB19A9C" w14:textId="77777777" w:rsidR="00086DAA" w:rsidRDefault="00086DAA">
      <w:pPr>
        <w:jc w:val="left"/>
        <w:rPr>
          <w:rFonts w:asciiTheme="majorEastAsia" w:eastAsiaTheme="majorEastAsia" w:hAnsiTheme="majorEastAsia"/>
          <w:sz w:val="24"/>
        </w:rPr>
      </w:pPr>
    </w:p>
    <w:p w14:paraId="74854349" w14:textId="77777777" w:rsidR="00086DAA" w:rsidRDefault="005541F6">
      <w:pPr>
        <w:jc w:val="left"/>
        <w:rPr>
          <w:rFonts w:asciiTheme="majorEastAsia" w:eastAsiaTheme="majorEastAsia" w:hAnsiTheme="majorEastAsia"/>
          <w:sz w:val="24"/>
        </w:rPr>
      </w:pPr>
      <w:r>
        <w:rPr>
          <w:rFonts w:asciiTheme="majorEastAsia" w:eastAsiaTheme="majorEastAsia" w:hAnsiTheme="majorEastAsia" w:hint="eastAsia"/>
          <w:sz w:val="24"/>
        </w:rPr>
        <w:t>６　結果の公表</w:t>
      </w:r>
    </w:p>
    <w:p w14:paraId="37734806" w14:textId="77777777" w:rsidR="00086DAA" w:rsidRDefault="005541F6">
      <w:pPr>
        <w:ind w:leftChars="202" w:left="398" w:firstLineChars="117" w:firstLine="243"/>
        <w:jc w:val="left"/>
        <w:rPr>
          <w:rFonts w:asciiTheme="minorEastAsia" w:hAnsiTheme="minorEastAsia"/>
          <w:sz w:val="22"/>
        </w:rPr>
      </w:pPr>
      <w:r>
        <w:rPr>
          <w:rFonts w:asciiTheme="minorEastAsia" w:hAnsiTheme="minorEastAsia" w:hint="eastAsia"/>
          <w:sz w:val="22"/>
        </w:rPr>
        <w:t>調査結果については、住宅数概数集計（平成</w:t>
      </w:r>
      <w:r>
        <w:rPr>
          <w:rFonts w:asciiTheme="minorEastAsia" w:hAnsiTheme="minorEastAsia" w:hint="eastAsia"/>
          <w:sz w:val="22"/>
        </w:rPr>
        <w:t>31</w:t>
      </w:r>
      <w:r>
        <w:rPr>
          <w:rFonts w:asciiTheme="minorEastAsia" w:hAnsiTheme="minorEastAsia" w:hint="eastAsia"/>
          <w:sz w:val="22"/>
        </w:rPr>
        <w:t>年</w:t>
      </w:r>
      <w:r>
        <w:rPr>
          <w:rFonts w:asciiTheme="minorEastAsia" w:hAnsiTheme="minorEastAsia" w:hint="eastAsia"/>
          <w:sz w:val="22"/>
        </w:rPr>
        <w:t>4</w:t>
      </w:r>
      <w:r>
        <w:rPr>
          <w:rFonts w:asciiTheme="minorEastAsia" w:hAnsiTheme="minorEastAsia" w:hint="eastAsia"/>
          <w:sz w:val="22"/>
        </w:rPr>
        <w:t>月</w:t>
      </w:r>
      <w:r>
        <w:rPr>
          <w:rFonts w:asciiTheme="minorEastAsia" w:hAnsiTheme="minorEastAsia" w:hint="eastAsia"/>
          <w:sz w:val="22"/>
        </w:rPr>
        <w:t>26</w:t>
      </w:r>
      <w:r>
        <w:rPr>
          <w:rFonts w:asciiTheme="minorEastAsia" w:hAnsiTheme="minorEastAsia" w:hint="eastAsia"/>
          <w:sz w:val="22"/>
        </w:rPr>
        <w:t>日）、住宅及び世帯に関する基本集計（令和元年</w:t>
      </w:r>
      <w:r>
        <w:rPr>
          <w:rFonts w:asciiTheme="minorEastAsia" w:hAnsiTheme="minorEastAsia" w:hint="eastAsia"/>
          <w:sz w:val="22"/>
        </w:rPr>
        <w:t>9</w:t>
      </w:r>
      <w:r>
        <w:rPr>
          <w:rFonts w:asciiTheme="minorEastAsia" w:hAnsiTheme="minorEastAsia" w:hint="eastAsia"/>
          <w:sz w:val="22"/>
        </w:rPr>
        <w:t>月</w:t>
      </w:r>
      <w:r>
        <w:rPr>
          <w:rFonts w:asciiTheme="minorEastAsia" w:hAnsiTheme="minorEastAsia" w:hint="eastAsia"/>
          <w:sz w:val="22"/>
        </w:rPr>
        <w:t>30</w:t>
      </w:r>
      <w:r>
        <w:rPr>
          <w:rFonts w:asciiTheme="minorEastAsia" w:hAnsiTheme="minorEastAsia" w:hint="eastAsia"/>
          <w:sz w:val="22"/>
        </w:rPr>
        <w:t>日）のほか、住宅の構造等に関する集計（令和</w:t>
      </w:r>
      <w:r>
        <w:rPr>
          <w:rFonts w:asciiTheme="minorEastAsia" w:hAnsiTheme="minorEastAsia" w:hint="eastAsia"/>
          <w:sz w:val="22"/>
        </w:rPr>
        <w:t>2</w:t>
      </w:r>
      <w:r>
        <w:rPr>
          <w:rFonts w:asciiTheme="minorEastAsia" w:hAnsiTheme="minorEastAsia" w:hint="eastAsia"/>
          <w:sz w:val="22"/>
        </w:rPr>
        <w:t>年</w:t>
      </w:r>
      <w:r>
        <w:rPr>
          <w:rFonts w:asciiTheme="minorEastAsia" w:hAnsiTheme="minorEastAsia" w:hint="eastAsia"/>
          <w:sz w:val="22"/>
        </w:rPr>
        <w:t>1</w:t>
      </w:r>
      <w:r>
        <w:rPr>
          <w:rFonts w:asciiTheme="minorEastAsia" w:hAnsiTheme="minorEastAsia" w:hint="eastAsia"/>
          <w:sz w:val="22"/>
        </w:rPr>
        <w:t>月</w:t>
      </w:r>
      <w:r>
        <w:rPr>
          <w:rFonts w:asciiTheme="minorEastAsia" w:hAnsiTheme="minorEastAsia" w:hint="eastAsia"/>
          <w:sz w:val="22"/>
        </w:rPr>
        <w:t>31</w:t>
      </w:r>
      <w:r>
        <w:rPr>
          <w:rFonts w:asciiTheme="minorEastAsia" w:hAnsiTheme="minorEastAsia" w:hint="eastAsia"/>
          <w:sz w:val="22"/>
        </w:rPr>
        <w:t>日）、土地集計（令和元年</w:t>
      </w:r>
      <w:r>
        <w:rPr>
          <w:rFonts w:asciiTheme="minorEastAsia" w:hAnsiTheme="minorEastAsia" w:hint="eastAsia"/>
          <w:sz w:val="22"/>
        </w:rPr>
        <w:t>3</w:t>
      </w:r>
      <w:r>
        <w:rPr>
          <w:rFonts w:asciiTheme="minorEastAsia" w:hAnsiTheme="minorEastAsia" w:hint="eastAsia"/>
          <w:sz w:val="22"/>
        </w:rPr>
        <w:t>月</w:t>
      </w:r>
      <w:r>
        <w:rPr>
          <w:rFonts w:asciiTheme="minorEastAsia" w:hAnsiTheme="minorEastAsia" w:hint="eastAsia"/>
          <w:sz w:val="22"/>
        </w:rPr>
        <w:t>27</w:t>
      </w:r>
      <w:r>
        <w:rPr>
          <w:rFonts w:asciiTheme="minorEastAsia" w:hAnsiTheme="minorEastAsia" w:hint="eastAsia"/>
          <w:sz w:val="22"/>
        </w:rPr>
        <w:t>日）をそれぞれ公表しています。</w:t>
      </w:r>
    </w:p>
    <w:p w14:paraId="5C9ED56F" w14:textId="77777777" w:rsidR="00086DAA" w:rsidRDefault="005541F6">
      <w:pPr>
        <w:ind w:leftChars="202" w:left="398" w:firstLineChars="117" w:firstLine="243"/>
        <w:jc w:val="left"/>
        <w:rPr>
          <w:rFonts w:asciiTheme="minorEastAsia" w:hAnsiTheme="minorEastAsia"/>
          <w:sz w:val="22"/>
        </w:rPr>
      </w:pPr>
      <w:r>
        <w:rPr>
          <w:rFonts w:asciiTheme="minorEastAsia" w:hAnsiTheme="minorEastAsia" w:hint="eastAsia"/>
          <w:sz w:val="22"/>
        </w:rPr>
        <w:t>なお、これらの調査結果は、総務省統計局のホームページ（下記</w:t>
      </w:r>
      <w:r>
        <w:rPr>
          <w:rFonts w:asciiTheme="minorEastAsia" w:hAnsiTheme="minorEastAsia" w:hint="eastAsia"/>
          <w:sz w:val="22"/>
        </w:rPr>
        <w:t>URL</w:t>
      </w:r>
      <w:r>
        <w:rPr>
          <w:rFonts w:asciiTheme="minorEastAsia" w:hAnsiTheme="minorEastAsia" w:hint="eastAsia"/>
          <w:sz w:val="22"/>
        </w:rPr>
        <w:t>参照）で公表されるほか、報告書として、各府省・都道府県・市区町村や全国各地の主要な図書館、研究機関などに送付されます。</w:t>
      </w:r>
    </w:p>
    <w:p w14:paraId="546EF98F" w14:textId="77777777" w:rsidR="00086DAA" w:rsidRDefault="005541F6">
      <w:pPr>
        <w:ind w:leftChars="202" w:left="398" w:firstLineChars="117" w:firstLine="243"/>
        <w:jc w:val="left"/>
        <w:rPr>
          <w:rFonts w:asciiTheme="minorEastAsia" w:hAnsiTheme="minorEastAsia"/>
          <w:sz w:val="22"/>
        </w:rPr>
      </w:pPr>
      <w:r>
        <w:rPr>
          <w:rFonts w:asciiTheme="minorEastAsia" w:hAnsiTheme="minorEastAsia" w:hint="eastAsia"/>
          <w:sz w:val="22"/>
        </w:rPr>
        <w:t xml:space="preserve">　※総務省統計局ホームページ</w:t>
      </w:r>
    </w:p>
    <w:p w14:paraId="4068D4EA" w14:textId="77777777" w:rsidR="00086DAA" w:rsidRDefault="005541F6">
      <w:pPr>
        <w:ind w:leftChars="202" w:left="398" w:firstLineChars="117" w:firstLine="243"/>
        <w:jc w:val="left"/>
        <w:rPr>
          <w:rFonts w:asciiTheme="minorEastAsia" w:hAnsiTheme="minorEastAsia"/>
          <w:sz w:val="22"/>
        </w:rPr>
      </w:pPr>
      <w:r>
        <w:rPr>
          <w:rFonts w:asciiTheme="minorEastAsia" w:hAnsiTheme="minorEastAsia" w:hint="eastAsia"/>
          <w:sz w:val="22"/>
        </w:rPr>
        <w:t xml:space="preserve">　住宅・土地統計調査　</w:t>
      </w:r>
      <w:hyperlink r:id="rId7" w:history="1">
        <w:r>
          <w:rPr>
            <w:rStyle w:val="ac"/>
            <w:rFonts w:asciiTheme="minorEastAsia" w:hAnsiTheme="minorEastAsia" w:hint="eastAsia"/>
            <w:sz w:val="22"/>
          </w:rPr>
          <w:t>http://www.stat.go.jp/data/jyutaku/index.html</w:t>
        </w:r>
      </w:hyperlink>
    </w:p>
    <w:p w14:paraId="10BCF96A" w14:textId="77777777" w:rsidR="00086DAA" w:rsidRDefault="005541F6">
      <w:pPr>
        <w:widowControl/>
        <w:jc w:val="left"/>
        <w:rPr>
          <w:rFonts w:asciiTheme="minorEastAsia" w:hAnsiTheme="minorEastAsia"/>
          <w:sz w:val="22"/>
        </w:rPr>
      </w:pPr>
      <w:r>
        <w:rPr>
          <w:rFonts w:asciiTheme="minorEastAsia" w:hAnsiTheme="minorEastAsia"/>
          <w:sz w:val="22"/>
        </w:rPr>
        <w:br w:type="page"/>
      </w:r>
    </w:p>
    <w:p w14:paraId="3CB91A45" w14:textId="77777777" w:rsidR="00086DAA" w:rsidRDefault="005541F6">
      <w:pPr>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【平成</w:t>
      </w:r>
      <w:r>
        <w:rPr>
          <w:rFonts w:asciiTheme="majorEastAsia" w:eastAsiaTheme="majorEastAsia" w:hAnsiTheme="majorEastAsia" w:hint="eastAsia"/>
          <w:b/>
          <w:sz w:val="26"/>
        </w:rPr>
        <w:t>30</w:t>
      </w:r>
      <w:r>
        <w:rPr>
          <w:rFonts w:asciiTheme="majorEastAsia" w:eastAsiaTheme="majorEastAsia" w:hAnsiTheme="majorEastAsia" w:hint="eastAsia"/>
          <w:b/>
          <w:sz w:val="26"/>
        </w:rPr>
        <w:t>年住宅・土地統計調査　秋田県の要約】</w:t>
      </w:r>
    </w:p>
    <w:p w14:paraId="24319CD7" w14:textId="77777777" w:rsidR="00086DAA" w:rsidRDefault="005541F6">
      <w:pPr>
        <w:jc w:val="left"/>
        <w:rPr>
          <w:rFonts w:asciiTheme="majorEastAsia" w:eastAsiaTheme="majorEastAsia" w:hAnsiTheme="majorEastAsia"/>
          <w:b/>
          <w:sz w:val="24"/>
        </w:rPr>
      </w:pPr>
      <w:r>
        <w:rPr>
          <w:rFonts w:asciiTheme="majorEastAsia" w:eastAsiaTheme="majorEastAsia" w:hAnsiTheme="majorEastAsia"/>
          <w:b/>
          <w:noProof/>
          <w:sz w:val="22"/>
        </w:rPr>
        <mc:AlternateContent>
          <mc:Choice Requires="wps">
            <w:drawing>
              <wp:anchor distT="0" distB="0" distL="114300" distR="114300" simplePos="0" relativeHeight="4" behindDoc="0" locked="0" layoutInCell="1" hidden="0" allowOverlap="1" wp14:anchorId="7A4B57E2" wp14:editId="37778332">
                <wp:simplePos x="0" y="0"/>
                <wp:positionH relativeFrom="column">
                  <wp:posOffset>-635</wp:posOffset>
                </wp:positionH>
                <wp:positionV relativeFrom="paragraph">
                  <wp:posOffset>49530</wp:posOffset>
                </wp:positionV>
                <wp:extent cx="5975985" cy="323850"/>
                <wp:effectExtent l="19050" t="19050" r="43815" b="38100"/>
                <wp:wrapNone/>
                <wp:docPr id="1027" name="角丸四角形 8"/>
                <wp:cNvGraphicFramePr/>
                <a:graphic xmlns:a="http://schemas.openxmlformats.org/drawingml/2006/main">
                  <a:graphicData uri="http://schemas.microsoft.com/office/word/2010/wordprocessingShape">
                    <wps:wsp>
                      <wps:cNvSpPr/>
                      <wps:spPr>
                        <a:xfrm>
                          <a:off x="0" y="0"/>
                          <a:ext cx="5975985" cy="323850"/>
                        </a:xfrm>
                        <a:prstGeom prst="roundRect">
                          <a:avLst>
                            <a:gd name="adj" fmla="val 16606"/>
                          </a:avLst>
                        </a:prstGeom>
                        <a:ln/>
                        <a:effectLst>
                          <a:innerShdw blurRad="63500" dist="50800" dir="5400000">
                            <a:prstClr val="black">
                              <a:alpha val="50000"/>
                            </a:prstClr>
                          </a:innerShdw>
                        </a:effectLst>
                      </wps:spPr>
                      <wps:style>
                        <a:lnRef idx="2">
                          <a:schemeClr val="dk1"/>
                        </a:lnRef>
                        <a:fillRef idx="1">
                          <a:schemeClr val="lt1"/>
                        </a:fillRef>
                        <a:effectRef idx="0">
                          <a:schemeClr val="dk1"/>
                        </a:effectRef>
                        <a:fontRef idx="minor">
                          <a:schemeClr val="dk1"/>
                        </a:fontRef>
                      </wps:style>
                      <wps:txbx>
                        <w:txbxContent>
                          <w:p w14:paraId="64660763"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◆総住宅数は</w:t>
                            </w:r>
                            <w:r>
                              <w:rPr>
                                <w:rFonts w:ascii="HG丸ｺﾞｼｯｸM-PRO" w:eastAsia="HG丸ｺﾞｼｯｸM-PRO" w:hAnsi="HG丸ｺﾞｼｯｸM-PRO" w:hint="eastAsia"/>
                                <w:b/>
                                <w:sz w:val="24"/>
                              </w:rPr>
                              <w:t>445,700</w:t>
                            </w:r>
                            <w:r>
                              <w:rPr>
                                <w:rFonts w:ascii="HG丸ｺﾞｼｯｸM-PRO" w:eastAsia="HG丸ｺﾞｼｯｸM-PRO" w:hAnsi="HG丸ｺﾞｼｯｸM-PRO" w:hint="eastAsia"/>
                                <w:b/>
                                <w:sz w:val="24"/>
                              </w:rPr>
                              <w:t>戸で</w:t>
                            </w:r>
                            <w:r>
                              <w:rPr>
                                <w:rFonts w:ascii="HG丸ｺﾞｼｯｸM-PRO" w:eastAsia="HG丸ｺﾞｼｯｸM-PRO" w:hAnsi="HG丸ｺﾞｼｯｸM-PRO" w:hint="eastAsia"/>
                                <w:b/>
                                <w:sz w:val="24"/>
                              </w:rPr>
                              <w:t>0.3</w:t>
                            </w:r>
                            <w:r>
                              <w:rPr>
                                <w:rFonts w:ascii="HG丸ｺﾞｼｯｸM-PRO" w:eastAsia="HG丸ｺﾞｼｯｸM-PRO" w:hAnsi="HG丸ｺﾞｼｯｸM-PRO" w:hint="eastAsia"/>
                                <w:b/>
                                <w:sz w:val="24"/>
                              </w:rPr>
                              <w:t>％の減少、空き家率は</w:t>
                            </w:r>
                            <w:r>
                              <w:rPr>
                                <w:rFonts w:ascii="HG丸ｺﾞｼｯｸM-PRO" w:eastAsia="HG丸ｺﾞｼｯｸM-PRO" w:hAnsi="HG丸ｺﾞｼｯｸM-PRO" w:hint="eastAsia"/>
                                <w:b/>
                                <w:sz w:val="24"/>
                              </w:rPr>
                              <w:t>13.6</w:t>
                            </w:r>
                            <w:r>
                              <w:rPr>
                                <w:rFonts w:ascii="HG丸ｺﾞｼｯｸM-PRO" w:eastAsia="HG丸ｺﾞｼｯｸM-PRO" w:hAnsi="HG丸ｺﾞｼｯｸM-PRO" w:hint="eastAsia"/>
                                <w:b/>
                                <w:sz w:val="24"/>
                              </w:rPr>
                              <w:t>％</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8" style="mso-wrap-distance-right:9pt;mso-wrap-distance-bottom:0pt;margin-top:3.9pt;mso-position-vertical-relative:text;mso-position-horizontal-relative:text;v-text-anchor:top;position:absolute;height:25.5pt;mso-wrap-distance-top:0pt;width:470.55pt;mso-wrap-distance-left:9pt;margin-left:-5.e-002pt;z-index:4;" o:spid="_x0000_s1027" o:allowincell="t" o:allowoverlap="t" filled="t" fillcolor="#ffffff [3201]" stroked="t" strokecolor="#000000 [32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◆総住宅数は</w:t>
                      </w:r>
                      <w:r>
                        <w:rPr>
                          <w:rFonts w:hint="eastAsia" w:ascii="HG丸ｺﾞｼｯｸM-PRO" w:hAnsi="HG丸ｺﾞｼｯｸM-PRO" w:eastAsia="HG丸ｺﾞｼｯｸM-PRO"/>
                          <w:b w:val="1"/>
                          <w:sz w:val="24"/>
                        </w:rPr>
                        <w:t>445,700</w:t>
                      </w:r>
                      <w:r>
                        <w:rPr>
                          <w:rFonts w:hint="eastAsia" w:ascii="HG丸ｺﾞｼｯｸM-PRO" w:hAnsi="HG丸ｺﾞｼｯｸM-PRO" w:eastAsia="HG丸ｺﾞｼｯｸM-PRO"/>
                          <w:b w:val="1"/>
                          <w:sz w:val="24"/>
                        </w:rPr>
                        <w:t>戸で</w:t>
                      </w:r>
                      <w:r>
                        <w:rPr>
                          <w:rFonts w:hint="eastAsia" w:ascii="HG丸ｺﾞｼｯｸM-PRO" w:hAnsi="HG丸ｺﾞｼｯｸM-PRO" w:eastAsia="HG丸ｺﾞｼｯｸM-PRO"/>
                          <w:b w:val="1"/>
                          <w:sz w:val="24"/>
                        </w:rPr>
                        <w:t>0.3</w:t>
                      </w:r>
                      <w:r>
                        <w:rPr>
                          <w:rFonts w:hint="eastAsia" w:ascii="HG丸ｺﾞｼｯｸM-PRO" w:hAnsi="HG丸ｺﾞｼｯｸM-PRO" w:eastAsia="HG丸ｺﾞｼｯｸM-PRO"/>
                          <w:b w:val="1"/>
                          <w:sz w:val="24"/>
                        </w:rPr>
                        <w:t>％の減少、空き家率は</w:t>
                      </w:r>
                      <w:r>
                        <w:rPr>
                          <w:rFonts w:hint="eastAsia" w:ascii="HG丸ｺﾞｼｯｸM-PRO" w:hAnsi="HG丸ｺﾞｼｯｸM-PRO" w:eastAsia="HG丸ｺﾞｼｯｸM-PRO"/>
                          <w:b w:val="1"/>
                          <w:sz w:val="24"/>
                        </w:rPr>
                        <w:t>13.6</w:t>
                      </w:r>
                      <w:r>
                        <w:rPr>
                          <w:rFonts w:hint="eastAsia" w:ascii="HG丸ｺﾞｼｯｸM-PRO" w:hAnsi="HG丸ｺﾞｼｯｸM-PRO" w:eastAsia="HG丸ｺﾞｼｯｸM-PRO"/>
                          <w:b w:val="1"/>
                          <w:sz w:val="24"/>
                        </w:rPr>
                        <w:t>％</w:t>
                      </w:r>
                    </w:p>
                  </w:txbxContent>
                </v:textbox>
                <v:imagedata o:title=""/>
                <w10:wrap type="none" anchorx="text" anchory="text"/>
              </v:roundrect>
            </w:pict>
          </mc:Fallback>
        </mc:AlternateContent>
      </w:r>
    </w:p>
    <w:p w14:paraId="1E5A9A6E" w14:textId="77777777" w:rsidR="00086DAA" w:rsidRDefault="00086DAA">
      <w:pPr>
        <w:jc w:val="left"/>
        <w:rPr>
          <w:rFonts w:asciiTheme="majorEastAsia" w:eastAsiaTheme="majorEastAsia" w:hAnsiTheme="majorEastAsia"/>
          <w:b/>
          <w:sz w:val="24"/>
        </w:rPr>
      </w:pPr>
    </w:p>
    <w:p w14:paraId="14E33BE4" w14:textId="77777777" w:rsidR="00086DAA" w:rsidRDefault="005541F6">
      <w:pPr>
        <w:ind w:leftChars="68" w:left="385" w:hangingChars="134" w:hanging="251"/>
        <w:jc w:val="left"/>
        <w:rPr>
          <w:rFonts w:asciiTheme="majorEastAsia" w:eastAsiaTheme="majorEastAsia" w:hAnsiTheme="majorEastAsia"/>
          <w:sz w:val="22"/>
        </w:rPr>
      </w:pPr>
      <w:r>
        <w:rPr>
          <w:noProof/>
          <w:sz w:val="20"/>
        </w:rPr>
        <w:drawing>
          <wp:anchor distT="0" distB="0" distL="114300" distR="114300" simplePos="0" relativeHeight="29" behindDoc="0" locked="0" layoutInCell="1" hidden="0" allowOverlap="1" wp14:anchorId="7EF0E602" wp14:editId="797E690D">
            <wp:simplePos x="0" y="0"/>
            <wp:positionH relativeFrom="column">
              <wp:posOffset>2275840</wp:posOffset>
            </wp:positionH>
            <wp:positionV relativeFrom="paragraph">
              <wp:posOffset>51435</wp:posOffset>
            </wp:positionV>
            <wp:extent cx="3962400" cy="2124075"/>
            <wp:effectExtent l="0" t="0" r="0" b="9525"/>
            <wp:wrapSquare wrapText="bothSides"/>
            <wp:docPr id="102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heme="majorEastAsia" w:eastAsiaTheme="majorEastAsia" w:hAnsiTheme="majorEastAsia" w:hint="eastAsia"/>
          <w:sz w:val="22"/>
        </w:rPr>
        <w:t>〇総住宅数は、</w:t>
      </w:r>
      <w:r>
        <w:rPr>
          <w:rFonts w:asciiTheme="majorEastAsia" w:eastAsiaTheme="majorEastAsia" w:hAnsiTheme="majorEastAsia" w:hint="eastAsia"/>
          <w:sz w:val="22"/>
        </w:rPr>
        <w:t>445,700</w:t>
      </w:r>
      <w:r>
        <w:rPr>
          <w:rFonts w:asciiTheme="majorEastAsia" w:eastAsiaTheme="majorEastAsia" w:hAnsiTheme="majorEastAsia" w:hint="eastAsia"/>
          <w:sz w:val="22"/>
        </w:rPr>
        <w:t>戸で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年前に比べて</w:t>
      </w:r>
      <w:r>
        <w:rPr>
          <w:rFonts w:asciiTheme="majorEastAsia" w:eastAsiaTheme="majorEastAsia" w:hAnsiTheme="majorEastAsia" w:hint="eastAsia"/>
          <w:sz w:val="22"/>
        </w:rPr>
        <w:t>1,200</w:t>
      </w:r>
      <w:r>
        <w:rPr>
          <w:rFonts w:asciiTheme="majorEastAsia" w:eastAsiaTheme="majorEastAsia" w:hAnsiTheme="majorEastAsia" w:hint="eastAsia"/>
          <w:sz w:val="22"/>
        </w:rPr>
        <w:t>戸</w:t>
      </w:r>
      <w:r>
        <w:rPr>
          <w:rFonts w:asciiTheme="majorEastAsia" w:eastAsiaTheme="majorEastAsia" w:hAnsiTheme="majorEastAsia" w:hint="eastAsia"/>
          <w:sz w:val="22"/>
        </w:rPr>
        <w:t xml:space="preserve"> (0.3</w:t>
      </w:r>
      <w:r>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hint="eastAsia"/>
          <w:sz w:val="22"/>
        </w:rPr>
        <w:t>の減少</w:t>
      </w:r>
    </w:p>
    <w:p w14:paraId="6C7D49B4" w14:textId="77777777" w:rsidR="00086DAA" w:rsidRDefault="005541F6">
      <w:pPr>
        <w:ind w:leftChars="68" w:left="412" w:hangingChars="134" w:hanging="278"/>
        <w:jc w:val="left"/>
        <w:rPr>
          <w:rFonts w:asciiTheme="majorEastAsia" w:eastAsiaTheme="majorEastAsia" w:hAnsiTheme="majorEastAsia"/>
          <w:sz w:val="22"/>
        </w:rPr>
      </w:pPr>
      <w:r>
        <w:rPr>
          <w:rFonts w:asciiTheme="majorEastAsia" w:eastAsiaTheme="majorEastAsia" w:hAnsiTheme="majorEastAsia" w:hint="eastAsia"/>
          <w:sz w:val="22"/>
        </w:rPr>
        <w:t>〇空き家数は、</w:t>
      </w:r>
      <w:r>
        <w:rPr>
          <w:rFonts w:asciiTheme="majorEastAsia" w:eastAsiaTheme="majorEastAsia" w:hAnsiTheme="majorEastAsia" w:hint="eastAsia"/>
          <w:sz w:val="22"/>
        </w:rPr>
        <w:t>60,800</w:t>
      </w:r>
      <w:r>
        <w:rPr>
          <w:rFonts w:asciiTheme="majorEastAsia" w:eastAsiaTheme="majorEastAsia" w:hAnsiTheme="majorEastAsia" w:hint="eastAsia"/>
          <w:sz w:val="22"/>
        </w:rPr>
        <w:t>戸で</w:t>
      </w:r>
      <w:r>
        <w:rPr>
          <w:rFonts w:asciiTheme="majorEastAsia" w:eastAsiaTheme="majorEastAsia" w:hAnsiTheme="majorEastAsia" w:hint="eastAsia"/>
          <w:sz w:val="22"/>
        </w:rPr>
        <w:t>5</w:t>
      </w:r>
      <w:r>
        <w:rPr>
          <w:rFonts w:asciiTheme="majorEastAsia" w:eastAsiaTheme="majorEastAsia" w:hAnsiTheme="majorEastAsia" w:hint="eastAsia"/>
          <w:sz w:val="22"/>
        </w:rPr>
        <w:t>年間に比べ</w:t>
      </w:r>
      <w:r>
        <w:rPr>
          <w:rFonts w:asciiTheme="majorEastAsia" w:eastAsiaTheme="majorEastAsia" w:hAnsiTheme="majorEastAsia" w:hint="eastAsia"/>
          <w:sz w:val="22"/>
        </w:rPr>
        <w:t>4,200</w:t>
      </w:r>
      <w:r>
        <w:rPr>
          <w:rFonts w:asciiTheme="majorEastAsia" w:eastAsiaTheme="majorEastAsia" w:hAnsiTheme="majorEastAsia" w:hint="eastAsia"/>
          <w:sz w:val="22"/>
        </w:rPr>
        <w:t>戸増加し、空き家率（総住宅数に占める割合）は、</w:t>
      </w:r>
      <w:r>
        <w:rPr>
          <w:rFonts w:asciiTheme="majorEastAsia" w:eastAsiaTheme="majorEastAsia" w:hAnsiTheme="majorEastAsia" w:hint="eastAsia"/>
          <w:sz w:val="22"/>
        </w:rPr>
        <w:t>13.6</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0.9</w:t>
      </w:r>
      <w:r>
        <w:rPr>
          <w:rFonts w:asciiTheme="majorEastAsia" w:eastAsiaTheme="majorEastAsia" w:hAnsiTheme="majorEastAsia" w:hint="eastAsia"/>
          <w:sz w:val="22"/>
        </w:rPr>
        <w:t>ポイントの増加</w:t>
      </w:r>
    </w:p>
    <w:p w14:paraId="1D818138" w14:textId="77777777" w:rsidR="00086DAA" w:rsidRDefault="005541F6">
      <w:pPr>
        <w:ind w:leftChars="68" w:left="412" w:hangingChars="134" w:hanging="278"/>
        <w:jc w:val="left"/>
        <w:rPr>
          <w:rFonts w:asciiTheme="majorEastAsia" w:eastAsiaTheme="majorEastAsia" w:hAnsiTheme="majorEastAsia"/>
          <w:sz w:val="22"/>
        </w:rPr>
      </w:pPr>
      <w:r>
        <w:rPr>
          <w:rFonts w:asciiTheme="majorEastAsia" w:eastAsiaTheme="majorEastAsia" w:hAnsiTheme="majorEastAsia" w:hint="eastAsia"/>
          <w:sz w:val="22"/>
        </w:rPr>
        <w:t>〇空き家率は、全国第</w:t>
      </w:r>
      <w:r>
        <w:rPr>
          <w:rFonts w:asciiTheme="majorEastAsia" w:eastAsiaTheme="majorEastAsia" w:hAnsiTheme="majorEastAsia" w:hint="eastAsia"/>
          <w:sz w:val="22"/>
        </w:rPr>
        <w:t>33</w:t>
      </w:r>
      <w:r>
        <w:rPr>
          <w:rFonts w:asciiTheme="majorEastAsia" w:eastAsiaTheme="majorEastAsia" w:hAnsiTheme="majorEastAsia" w:hint="eastAsia"/>
          <w:sz w:val="22"/>
        </w:rPr>
        <w:t>位</w:t>
      </w:r>
    </w:p>
    <w:p w14:paraId="0C46FA84" w14:textId="77777777" w:rsidR="00086DAA" w:rsidRDefault="00086DAA">
      <w:pPr>
        <w:ind w:leftChars="68" w:left="412" w:hangingChars="134" w:hanging="278"/>
        <w:jc w:val="left"/>
        <w:rPr>
          <w:rFonts w:asciiTheme="majorEastAsia" w:eastAsiaTheme="majorEastAsia" w:hAnsiTheme="majorEastAsia"/>
          <w:sz w:val="22"/>
        </w:rPr>
      </w:pPr>
    </w:p>
    <w:p w14:paraId="1A056423" w14:textId="77777777" w:rsidR="00086DAA" w:rsidRDefault="00086DAA">
      <w:pPr>
        <w:jc w:val="left"/>
        <w:rPr>
          <w:rFonts w:asciiTheme="majorEastAsia" w:eastAsiaTheme="majorEastAsia" w:hAnsiTheme="majorEastAsia"/>
          <w:b/>
          <w:sz w:val="22"/>
        </w:rPr>
      </w:pPr>
    </w:p>
    <w:p w14:paraId="5BDF3F72" w14:textId="77777777" w:rsidR="00086DAA" w:rsidRDefault="005541F6">
      <w:pPr>
        <w:jc w:val="left"/>
        <w:rPr>
          <w:rFonts w:asciiTheme="majorEastAsia" w:eastAsiaTheme="majorEastAsia" w:hAnsiTheme="majorEastAsia"/>
          <w:b/>
          <w:sz w:val="22"/>
        </w:rPr>
      </w:pPr>
      <w:r>
        <w:rPr>
          <w:rFonts w:asciiTheme="majorEastAsia" w:eastAsiaTheme="majorEastAsia" w:hAnsiTheme="majorEastAsia"/>
          <w:b/>
          <w:noProof/>
        </w:rPr>
        <mc:AlternateContent>
          <mc:Choice Requires="wps">
            <w:drawing>
              <wp:anchor distT="0" distB="0" distL="114300" distR="114300" simplePos="0" relativeHeight="5" behindDoc="0" locked="0" layoutInCell="1" hidden="0" allowOverlap="1" wp14:anchorId="07314EEF" wp14:editId="09ADD61C">
                <wp:simplePos x="0" y="0"/>
                <wp:positionH relativeFrom="column">
                  <wp:posOffset>43180</wp:posOffset>
                </wp:positionH>
                <wp:positionV relativeFrom="paragraph">
                  <wp:posOffset>45720</wp:posOffset>
                </wp:positionV>
                <wp:extent cx="5975985" cy="323850"/>
                <wp:effectExtent l="15240" t="17780" r="47625" b="39370"/>
                <wp:wrapNone/>
                <wp:docPr id="1029" name="角丸四角形 9"/>
                <wp:cNvGraphicFramePr/>
                <a:graphic xmlns:a="http://schemas.openxmlformats.org/drawingml/2006/main">
                  <a:graphicData uri="http://schemas.microsoft.com/office/word/2010/wordprocessingShape">
                    <wps:wsp>
                      <wps:cNvSpPr/>
                      <wps:spPr>
                        <a:xfrm>
                          <a:off x="0" y="0"/>
                          <a:ext cx="5975985" cy="323850"/>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71DF3278"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◆一戸建率は</w:t>
                            </w:r>
                            <w:r>
                              <w:rPr>
                                <w:rFonts w:ascii="HG丸ｺﾞｼｯｸM-PRO" w:eastAsia="HG丸ｺﾞｼｯｸM-PRO" w:hAnsi="HG丸ｺﾞｼｯｸM-PRO" w:hint="eastAsia"/>
                                <w:b/>
                                <w:sz w:val="24"/>
                              </w:rPr>
                              <w:t>79.8</w:t>
                            </w:r>
                            <w:r>
                              <w:rPr>
                                <w:rFonts w:ascii="HG丸ｺﾞｼｯｸM-PRO" w:eastAsia="HG丸ｺﾞｼｯｸM-PRO" w:hAnsi="HG丸ｺﾞｼｯｸM-PRO" w:hint="eastAsia"/>
                                <w:b/>
                                <w:sz w:val="24"/>
                              </w:rPr>
                              <w:t>％で全国第一位、共同住宅率は</w:t>
                            </w:r>
                            <w:r>
                              <w:rPr>
                                <w:rFonts w:ascii="HG丸ｺﾞｼｯｸM-PRO" w:eastAsia="HG丸ｺﾞｼｯｸM-PRO" w:hAnsi="HG丸ｺﾞｼｯｸM-PRO" w:hint="eastAsia"/>
                                <w:b/>
                                <w:sz w:val="24"/>
                              </w:rPr>
                              <w:t>17.8</w:t>
                            </w:r>
                            <w:r>
                              <w:rPr>
                                <w:rFonts w:ascii="HG丸ｺﾞｼｯｸM-PRO" w:eastAsia="HG丸ｺﾞｼｯｸM-PRO" w:hAnsi="HG丸ｺﾞｼｯｸM-PRO" w:hint="eastAsia"/>
                                <w:b/>
                                <w:sz w:val="24"/>
                              </w:rPr>
                              <w:t>％で全国最下位</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9" style="mso-wrap-distance-right:9pt;mso-wrap-distance-bottom:0pt;margin-top:3.6pt;mso-position-vertical-relative:text;mso-position-horizontal-relative:text;v-text-anchor:top;position:absolute;height:25.5pt;mso-wrap-distance-top:0pt;width:470.55pt;mso-wrap-distance-left:9pt;margin-left:3.4pt;z-index:5;" o:spid="_x0000_s1029" o:allowincell="t" o:allowoverlap="t" filled="t" fillcolor="#ffffff" stroked="t" strokecolor="#0000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◆一戸建率は</w:t>
                      </w:r>
                      <w:r>
                        <w:rPr>
                          <w:rFonts w:hint="eastAsia" w:ascii="HG丸ｺﾞｼｯｸM-PRO" w:hAnsi="HG丸ｺﾞｼｯｸM-PRO" w:eastAsia="HG丸ｺﾞｼｯｸM-PRO"/>
                          <w:b w:val="1"/>
                          <w:sz w:val="24"/>
                        </w:rPr>
                        <w:t>79.8</w:t>
                      </w:r>
                      <w:r>
                        <w:rPr>
                          <w:rFonts w:hint="eastAsia" w:ascii="HG丸ｺﾞｼｯｸM-PRO" w:hAnsi="HG丸ｺﾞｼｯｸM-PRO" w:eastAsia="HG丸ｺﾞｼｯｸM-PRO"/>
                          <w:b w:val="1"/>
                          <w:sz w:val="24"/>
                        </w:rPr>
                        <w:t>％で全国第一位、共同住宅率は</w:t>
                      </w:r>
                      <w:r>
                        <w:rPr>
                          <w:rFonts w:hint="eastAsia" w:ascii="HG丸ｺﾞｼｯｸM-PRO" w:hAnsi="HG丸ｺﾞｼｯｸM-PRO" w:eastAsia="HG丸ｺﾞｼｯｸM-PRO"/>
                          <w:b w:val="1"/>
                          <w:sz w:val="24"/>
                        </w:rPr>
                        <w:t>17.8</w:t>
                      </w:r>
                      <w:r>
                        <w:rPr>
                          <w:rFonts w:hint="eastAsia" w:ascii="HG丸ｺﾞｼｯｸM-PRO" w:hAnsi="HG丸ｺﾞｼｯｸM-PRO" w:eastAsia="HG丸ｺﾞｼｯｸM-PRO"/>
                          <w:b w:val="1"/>
                          <w:sz w:val="24"/>
                        </w:rPr>
                        <w:t>％で全国最下位</w:t>
                      </w:r>
                    </w:p>
                  </w:txbxContent>
                </v:textbox>
                <v:imagedata o:title=""/>
                <w10:wrap type="none" anchorx="text" anchory="text"/>
              </v:roundrect>
            </w:pict>
          </mc:Fallback>
        </mc:AlternateContent>
      </w:r>
    </w:p>
    <w:p w14:paraId="1E91E31D" w14:textId="77777777" w:rsidR="00086DAA" w:rsidRDefault="00086DAA">
      <w:pPr>
        <w:jc w:val="left"/>
        <w:rPr>
          <w:rFonts w:asciiTheme="majorEastAsia" w:eastAsiaTheme="majorEastAsia" w:hAnsiTheme="majorEastAsia"/>
          <w:b/>
          <w:sz w:val="22"/>
        </w:rPr>
      </w:pPr>
    </w:p>
    <w:p w14:paraId="5DC29C2F"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〇一戸建住宅数は</w:t>
      </w:r>
      <w:r>
        <w:rPr>
          <w:rFonts w:asciiTheme="majorEastAsia" w:eastAsiaTheme="majorEastAsia" w:hAnsiTheme="majorEastAsia" w:hint="eastAsia"/>
          <w:sz w:val="22"/>
        </w:rPr>
        <w:t>306,200</w:t>
      </w:r>
      <w:r>
        <w:rPr>
          <w:rFonts w:asciiTheme="majorEastAsia" w:eastAsiaTheme="majorEastAsia" w:hAnsiTheme="majorEastAsia" w:hint="eastAsia"/>
          <w:sz w:val="22"/>
        </w:rPr>
        <w:t>戸で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8,800</w:t>
      </w:r>
      <w:r>
        <w:rPr>
          <w:rFonts w:asciiTheme="majorEastAsia" w:eastAsiaTheme="majorEastAsia" w:hAnsiTheme="majorEastAsia" w:hint="eastAsia"/>
          <w:sz w:val="22"/>
        </w:rPr>
        <w:t>戸</w:t>
      </w:r>
      <w:r>
        <w:rPr>
          <w:rFonts w:asciiTheme="majorEastAsia" w:eastAsiaTheme="majorEastAsia" w:hAnsiTheme="majorEastAsia" w:hint="eastAsia"/>
          <w:sz w:val="22"/>
        </w:rPr>
        <w:t>(2.8</w:t>
      </w:r>
      <w:r>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hint="eastAsia"/>
          <w:sz w:val="22"/>
        </w:rPr>
        <w:t>減少し、一戸建率（居住世帯のある住宅に占める割合）は</w:t>
      </w:r>
      <w:r>
        <w:rPr>
          <w:rFonts w:asciiTheme="majorEastAsia" w:eastAsiaTheme="majorEastAsia" w:hAnsiTheme="majorEastAsia" w:hint="eastAsia"/>
          <w:sz w:val="22"/>
        </w:rPr>
        <w:t>79.8</w:t>
      </w:r>
      <w:r>
        <w:rPr>
          <w:rFonts w:asciiTheme="majorEastAsia" w:eastAsiaTheme="majorEastAsia" w:hAnsiTheme="majorEastAsia" w:hint="eastAsia"/>
          <w:sz w:val="22"/>
        </w:rPr>
        <w:t>％で全国第１位</w:t>
      </w:r>
    </w:p>
    <w:p w14:paraId="0DEEB050"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〇共同住宅数は</w:t>
      </w:r>
      <w:r>
        <w:rPr>
          <w:rFonts w:asciiTheme="majorEastAsia" w:eastAsiaTheme="majorEastAsia" w:hAnsiTheme="majorEastAsia" w:hint="eastAsia"/>
          <w:sz w:val="22"/>
        </w:rPr>
        <w:t>68,200</w:t>
      </w:r>
      <w:r>
        <w:rPr>
          <w:rFonts w:asciiTheme="majorEastAsia" w:eastAsiaTheme="majorEastAsia" w:hAnsiTheme="majorEastAsia" w:hint="eastAsia"/>
          <w:sz w:val="22"/>
        </w:rPr>
        <w:t>戸で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1,100</w:t>
      </w:r>
      <w:r>
        <w:rPr>
          <w:rFonts w:asciiTheme="majorEastAsia" w:eastAsiaTheme="majorEastAsia" w:hAnsiTheme="majorEastAsia" w:hint="eastAsia"/>
          <w:sz w:val="22"/>
        </w:rPr>
        <w:t>戸</w:t>
      </w:r>
      <w:r>
        <w:rPr>
          <w:rFonts w:asciiTheme="majorEastAsia" w:eastAsiaTheme="majorEastAsia" w:hAnsiTheme="majorEastAsia" w:hint="eastAsia"/>
          <w:sz w:val="22"/>
        </w:rPr>
        <w:t>(1.6</w:t>
      </w:r>
      <w:r>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hint="eastAsia"/>
          <w:sz w:val="22"/>
        </w:rPr>
        <w:t>増加し、共同住宅率（居住世帯のある住宅に占める割合）は</w:t>
      </w:r>
      <w:r>
        <w:rPr>
          <w:rFonts w:asciiTheme="majorEastAsia" w:eastAsiaTheme="majorEastAsia" w:hAnsiTheme="majorEastAsia" w:hint="eastAsia"/>
          <w:sz w:val="22"/>
        </w:rPr>
        <w:t>17.8</w:t>
      </w:r>
      <w:r>
        <w:rPr>
          <w:rFonts w:asciiTheme="majorEastAsia" w:eastAsiaTheme="majorEastAsia" w:hAnsiTheme="majorEastAsia" w:hint="eastAsia"/>
          <w:sz w:val="22"/>
        </w:rPr>
        <w:t>％で全国最下位</w:t>
      </w:r>
    </w:p>
    <w:p w14:paraId="18EE9C7F" w14:textId="77777777" w:rsidR="00086DAA" w:rsidRDefault="005541F6">
      <w:pPr>
        <w:ind w:left="233" w:hangingChars="118" w:hanging="233"/>
        <w:jc w:val="center"/>
        <w:rPr>
          <w:rFonts w:asciiTheme="majorEastAsia" w:eastAsiaTheme="majorEastAsia" w:hAnsiTheme="majorEastAsia"/>
          <w:sz w:val="24"/>
        </w:rPr>
      </w:pPr>
      <w:r>
        <w:rPr>
          <w:noProof/>
        </w:rPr>
        <w:drawing>
          <wp:inline distT="0" distB="0" distL="0" distR="0" wp14:anchorId="6CFB94E2" wp14:editId="3289DC4D">
            <wp:extent cx="5705475" cy="899795"/>
            <wp:effectExtent l="0" t="0" r="9525" b="14605"/>
            <wp:docPr id="103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F666CB" w14:textId="77777777" w:rsidR="00086DAA" w:rsidRDefault="005541F6">
      <w:pPr>
        <w:ind w:left="234" w:hangingChars="118" w:hanging="234"/>
        <w:jc w:val="left"/>
        <w:rPr>
          <w:rFonts w:asciiTheme="majorEastAsia" w:eastAsiaTheme="majorEastAsia" w:hAnsiTheme="majorEastAsia"/>
          <w:sz w:val="24"/>
        </w:rPr>
      </w:pPr>
      <w:r>
        <w:rPr>
          <w:rFonts w:asciiTheme="majorEastAsia" w:eastAsiaTheme="majorEastAsia" w:hAnsiTheme="majorEastAsia"/>
          <w:b/>
          <w:noProof/>
        </w:rPr>
        <mc:AlternateContent>
          <mc:Choice Requires="wps">
            <w:drawing>
              <wp:anchor distT="0" distB="0" distL="114300" distR="114300" simplePos="0" relativeHeight="2" behindDoc="0" locked="0" layoutInCell="1" hidden="0" allowOverlap="1" wp14:anchorId="29E41BD3" wp14:editId="2F0C45C5">
                <wp:simplePos x="0" y="0"/>
                <wp:positionH relativeFrom="column">
                  <wp:posOffset>46990</wp:posOffset>
                </wp:positionH>
                <wp:positionV relativeFrom="paragraph">
                  <wp:posOffset>60960</wp:posOffset>
                </wp:positionV>
                <wp:extent cx="5975985" cy="323850"/>
                <wp:effectExtent l="19050" t="19050" r="43815" b="38100"/>
                <wp:wrapNone/>
                <wp:docPr id="1031" name="角丸四角形 12"/>
                <wp:cNvGraphicFramePr/>
                <a:graphic xmlns:a="http://schemas.openxmlformats.org/drawingml/2006/main">
                  <a:graphicData uri="http://schemas.microsoft.com/office/word/2010/wordprocessingShape">
                    <wps:wsp>
                      <wps:cNvSpPr/>
                      <wps:spPr>
                        <a:xfrm>
                          <a:off x="0" y="0"/>
                          <a:ext cx="5975985" cy="323850"/>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0AEE2AD8"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◆住宅の構造は木造が</w:t>
                            </w:r>
                            <w:r>
                              <w:rPr>
                                <w:rFonts w:ascii="HG丸ｺﾞｼｯｸM-PRO" w:eastAsia="HG丸ｺﾞｼｯｸM-PRO" w:hAnsi="HG丸ｺﾞｼｯｸM-PRO" w:hint="eastAsia"/>
                                <w:b/>
                                <w:sz w:val="24"/>
                              </w:rPr>
                              <w:t>88.6</w:t>
                            </w:r>
                            <w:r>
                              <w:rPr>
                                <w:rFonts w:ascii="HG丸ｺﾞｼｯｸM-PRO" w:eastAsia="HG丸ｺﾞｼｯｸM-PRO" w:hAnsi="HG丸ｺﾞｼｯｸM-PRO" w:hint="eastAsia"/>
                                <w:b/>
                                <w:sz w:val="24"/>
                              </w:rPr>
                              <w:t>％、非木造が</w:t>
                            </w:r>
                            <w:r>
                              <w:rPr>
                                <w:rFonts w:ascii="HG丸ｺﾞｼｯｸM-PRO" w:eastAsia="HG丸ｺﾞｼｯｸM-PRO" w:hAnsi="HG丸ｺﾞｼｯｸM-PRO" w:hint="eastAsia"/>
                                <w:b/>
                                <w:sz w:val="24"/>
                              </w:rPr>
                              <w:t>11.4</w:t>
                            </w:r>
                            <w:r>
                              <w:rPr>
                                <w:rFonts w:ascii="HG丸ｺﾞｼｯｸM-PRO" w:eastAsia="HG丸ｺﾞｼｯｸM-PRO" w:hAnsi="HG丸ｺﾞｼｯｸM-PRO" w:hint="eastAsia"/>
                                <w:b/>
                                <w:sz w:val="24"/>
                              </w:rPr>
                              <w:t>％</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12" style="mso-wrap-distance-right:9pt;mso-wrap-distance-bottom:0pt;margin-top:4.8pt;mso-position-vertical-relative:text;mso-position-horizontal-relative:text;v-text-anchor:top;position:absolute;height:25.5pt;mso-wrap-distance-top:0pt;width:470.55pt;mso-wrap-distance-left:9pt;margin-left:3.7pt;z-index:2;" o:spid="_x0000_s1031" o:allowincell="t" o:allowoverlap="t" filled="t" fillcolor="#ffffff" stroked="t" strokecolor="#0000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◆住宅の構造は木造が</w:t>
                      </w:r>
                      <w:r>
                        <w:rPr>
                          <w:rFonts w:hint="eastAsia" w:ascii="HG丸ｺﾞｼｯｸM-PRO" w:hAnsi="HG丸ｺﾞｼｯｸM-PRO" w:eastAsia="HG丸ｺﾞｼｯｸM-PRO"/>
                          <w:b w:val="1"/>
                          <w:sz w:val="24"/>
                        </w:rPr>
                        <w:t>88.6</w:t>
                      </w:r>
                      <w:r>
                        <w:rPr>
                          <w:rFonts w:hint="eastAsia" w:ascii="HG丸ｺﾞｼｯｸM-PRO" w:hAnsi="HG丸ｺﾞｼｯｸM-PRO" w:eastAsia="HG丸ｺﾞｼｯｸM-PRO"/>
                          <w:b w:val="1"/>
                          <w:sz w:val="24"/>
                        </w:rPr>
                        <w:t>％、非木造が</w:t>
                      </w:r>
                      <w:r>
                        <w:rPr>
                          <w:rFonts w:hint="eastAsia" w:ascii="HG丸ｺﾞｼｯｸM-PRO" w:hAnsi="HG丸ｺﾞｼｯｸM-PRO" w:eastAsia="HG丸ｺﾞｼｯｸM-PRO"/>
                          <w:b w:val="1"/>
                          <w:sz w:val="24"/>
                        </w:rPr>
                        <w:t>11.4</w:t>
                      </w:r>
                      <w:r>
                        <w:rPr>
                          <w:rFonts w:hint="eastAsia" w:ascii="HG丸ｺﾞｼｯｸM-PRO" w:hAnsi="HG丸ｺﾞｼｯｸM-PRO" w:eastAsia="HG丸ｺﾞｼｯｸM-PRO"/>
                          <w:b w:val="1"/>
                          <w:sz w:val="24"/>
                        </w:rPr>
                        <w:t>％</w:t>
                      </w:r>
                    </w:p>
                  </w:txbxContent>
                </v:textbox>
                <v:imagedata o:title=""/>
                <w10:wrap type="none" anchorx="text" anchory="text"/>
              </v:roundrect>
            </w:pict>
          </mc:Fallback>
        </mc:AlternateContent>
      </w:r>
    </w:p>
    <w:p w14:paraId="4BD22521" w14:textId="77777777" w:rsidR="00086DAA" w:rsidRDefault="00086DAA">
      <w:pPr>
        <w:ind w:left="245" w:hangingChars="118" w:hanging="245"/>
        <w:jc w:val="left"/>
        <w:rPr>
          <w:rFonts w:asciiTheme="majorEastAsia" w:eastAsiaTheme="majorEastAsia" w:hAnsiTheme="majorEastAsia"/>
          <w:sz w:val="22"/>
        </w:rPr>
      </w:pPr>
    </w:p>
    <w:p w14:paraId="57E74358"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〇住宅の構造は木造（防火木造を含む。）が</w:t>
      </w:r>
      <w:r>
        <w:rPr>
          <w:rFonts w:asciiTheme="majorEastAsia" w:eastAsiaTheme="majorEastAsia" w:hAnsiTheme="majorEastAsia" w:hint="eastAsia"/>
          <w:sz w:val="22"/>
        </w:rPr>
        <w:t>339,900</w:t>
      </w:r>
      <w:r>
        <w:rPr>
          <w:rFonts w:asciiTheme="majorEastAsia" w:eastAsiaTheme="majorEastAsia" w:hAnsiTheme="majorEastAsia" w:hint="eastAsia"/>
          <w:sz w:val="22"/>
        </w:rPr>
        <w:t>戸で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800</w:t>
      </w:r>
      <w:r>
        <w:rPr>
          <w:rFonts w:asciiTheme="majorEastAsia" w:eastAsiaTheme="majorEastAsia" w:hAnsiTheme="majorEastAsia" w:hint="eastAsia"/>
          <w:sz w:val="22"/>
        </w:rPr>
        <w:t>戸増加し、木造率（居住世帯のある住宅に占める割合）は</w:t>
      </w:r>
      <w:r>
        <w:rPr>
          <w:rFonts w:asciiTheme="majorEastAsia" w:eastAsiaTheme="majorEastAsia" w:hAnsiTheme="majorEastAsia" w:hint="eastAsia"/>
          <w:sz w:val="22"/>
        </w:rPr>
        <w:t>88.6</w:t>
      </w:r>
      <w:r>
        <w:rPr>
          <w:rFonts w:asciiTheme="majorEastAsia" w:eastAsiaTheme="majorEastAsia" w:hAnsiTheme="majorEastAsia" w:hint="eastAsia"/>
          <w:sz w:val="22"/>
        </w:rPr>
        <w:t>％で全国第１位</w:t>
      </w:r>
    </w:p>
    <w:p w14:paraId="5E0F776F" w14:textId="77777777" w:rsidR="00086DAA" w:rsidRDefault="005541F6">
      <w:pPr>
        <w:ind w:left="233" w:hangingChars="118" w:hanging="233"/>
        <w:jc w:val="center"/>
        <w:rPr>
          <w:rFonts w:asciiTheme="majorEastAsia" w:eastAsiaTheme="majorEastAsia" w:hAnsiTheme="majorEastAsia"/>
          <w:sz w:val="24"/>
        </w:rPr>
      </w:pPr>
      <w:r>
        <w:rPr>
          <w:noProof/>
        </w:rPr>
        <w:drawing>
          <wp:inline distT="0" distB="0" distL="0" distR="0" wp14:anchorId="04DD616C" wp14:editId="6DD53390">
            <wp:extent cx="5810250" cy="933450"/>
            <wp:effectExtent l="0" t="0" r="0" b="0"/>
            <wp:docPr id="103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65CFD1" w14:textId="77777777" w:rsidR="00086DAA" w:rsidRDefault="005541F6">
      <w:pPr>
        <w:ind w:left="246" w:hangingChars="118" w:hanging="246"/>
        <w:jc w:val="left"/>
        <w:rPr>
          <w:rFonts w:asciiTheme="majorEastAsia" w:eastAsiaTheme="majorEastAsia" w:hAnsiTheme="majorEastAsia"/>
          <w:sz w:val="24"/>
        </w:rPr>
      </w:pPr>
      <w:r>
        <w:rPr>
          <w:rFonts w:asciiTheme="majorEastAsia" w:eastAsiaTheme="majorEastAsia" w:hAnsiTheme="majorEastAsia"/>
          <w:b/>
          <w:noProof/>
          <w:sz w:val="22"/>
        </w:rPr>
        <mc:AlternateContent>
          <mc:Choice Requires="wps">
            <w:drawing>
              <wp:anchor distT="0" distB="0" distL="114300" distR="114300" simplePos="0" relativeHeight="6" behindDoc="0" locked="0" layoutInCell="1" hidden="0" allowOverlap="1" wp14:anchorId="6243DC65" wp14:editId="606B0514">
                <wp:simplePos x="0" y="0"/>
                <wp:positionH relativeFrom="column">
                  <wp:posOffset>8890</wp:posOffset>
                </wp:positionH>
                <wp:positionV relativeFrom="paragraph">
                  <wp:posOffset>72390</wp:posOffset>
                </wp:positionV>
                <wp:extent cx="5975985" cy="323850"/>
                <wp:effectExtent l="19050" t="19050" r="43815" b="38100"/>
                <wp:wrapNone/>
                <wp:docPr id="1033" name="角丸四角形 14"/>
                <wp:cNvGraphicFramePr/>
                <a:graphic xmlns:a="http://schemas.openxmlformats.org/drawingml/2006/main">
                  <a:graphicData uri="http://schemas.microsoft.com/office/word/2010/wordprocessingShape">
                    <wps:wsp>
                      <wps:cNvSpPr/>
                      <wps:spPr>
                        <a:xfrm>
                          <a:off x="0" y="0"/>
                          <a:ext cx="5975985" cy="323850"/>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6D928001"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◆持ち家住宅率は</w:t>
                            </w:r>
                            <w:r>
                              <w:rPr>
                                <w:rFonts w:ascii="HG丸ｺﾞｼｯｸM-PRO" w:eastAsia="HG丸ｺﾞｼｯｸM-PRO" w:hAnsi="HG丸ｺﾞｼｯｸM-PRO" w:hint="eastAsia"/>
                                <w:b/>
                                <w:sz w:val="24"/>
                              </w:rPr>
                              <w:t>77.3</w:t>
                            </w:r>
                            <w:r>
                              <w:rPr>
                                <w:rFonts w:ascii="HG丸ｺﾞｼｯｸM-PRO" w:eastAsia="HG丸ｺﾞｼｯｸM-PRO" w:hAnsi="HG丸ｺﾞｼｯｸM-PRO" w:hint="eastAsia"/>
                                <w:b/>
                                <w:sz w:val="24"/>
                              </w:rPr>
                              <w:t>％で全国第一位</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14" style="mso-wrap-distance-right:9pt;mso-wrap-distance-bottom:0pt;margin-top:5.7pt;mso-position-vertical-relative:text;mso-position-horizontal-relative:text;v-text-anchor:top;position:absolute;height:25.5pt;mso-wrap-distance-top:0pt;width:470.55pt;mso-wrap-distance-left:9pt;margin-left:0.7pt;z-index:6;" o:spid="_x0000_s1033" o:allowincell="t" o:allowoverlap="t" filled="t" fillcolor="#ffffff" stroked="t" strokecolor="#0000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◆持ち家住宅率は</w:t>
                      </w:r>
                      <w:r>
                        <w:rPr>
                          <w:rFonts w:hint="eastAsia" w:ascii="HG丸ｺﾞｼｯｸM-PRO" w:hAnsi="HG丸ｺﾞｼｯｸM-PRO" w:eastAsia="HG丸ｺﾞｼｯｸM-PRO"/>
                          <w:b w:val="1"/>
                          <w:sz w:val="24"/>
                        </w:rPr>
                        <w:t>77.3</w:t>
                      </w:r>
                      <w:r>
                        <w:rPr>
                          <w:rFonts w:hint="eastAsia" w:ascii="HG丸ｺﾞｼｯｸM-PRO" w:hAnsi="HG丸ｺﾞｼｯｸM-PRO" w:eastAsia="HG丸ｺﾞｼｯｸM-PRO"/>
                          <w:b w:val="1"/>
                          <w:sz w:val="24"/>
                        </w:rPr>
                        <w:t>％で全国第一位</w:t>
                      </w:r>
                    </w:p>
                  </w:txbxContent>
                </v:textbox>
                <v:imagedata o:title=""/>
                <w10:wrap type="none" anchorx="text" anchory="text"/>
              </v:roundrect>
            </w:pict>
          </mc:Fallback>
        </mc:AlternateContent>
      </w:r>
    </w:p>
    <w:p w14:paraId="66E24D61" w14:textId="77777777" w:rsidR="00086DAA" w:rsidRDefault="00086DAA">
      <w:pPr>
        <w:ind w:left="268" w:hangingChars="118" w:hanging="268"/>
        <w:jc w:val="left"/>
        <w:rPr>
          <w:rFonts w:asciiTheme="majorEastAsia" w:eastAsiaTheme="majorEastAsia" w:hAnsiTheme="majorEastAsia"/>
          <w:sz w:val="24"/>
        </w:rPr>
      </w:pPr>
    </w:p>
    <w:p w14:paraId="12BF74E2"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〇持ち家数は</w:t>
      </w:r>
      <w:r>
        <w:rPr>
          <w:rFonts w:asciiTheme="majorEastAsia" w:eastAsiaTheme="majorEastAsia" w:hAnsiTheme="majorEastAsia" w:hint="eastAsia"/>
          <w:sz w:val="22"/>
        </w:rPr>
        <w:t>296,500</w:t>
      </w:r>
      <w:r>
        <w:rPr>
          <w:rFonts w:asciiTheme="majorEastAsia" w:eastAsiaTheme="majorEastAsia" w:hAnsiTheme="majorEastAsia" w:hint="eastAsia"/>
          <w:sz w:val="22"/>
        </w:rPr>
        <w:t>戸で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7,300</w:t>
      </w:r>
      <w:r>
        <w:rPr>
          <w:rFonts w:asciiTheme="majorEastAsia" w:eastAsiaTheme="majorEastAsia" w:hAnsiTheme="majorEastAsia" w:hint="eastAsia"/>
          <w:sz w:val="22"/>
        </w:rPr>
        <w:t>戸</w:t>
      </w:r>
      <w:r>
        <w:rPr>
          <w:rFonts w:asciiTheme="majorEastAsia" w:eastAsiaTheme="majorEastAsia" w:hAnsiTheme="majorEastAsia" w:hint="eastAsia"/>
          <w:sz w:val="22"/>
        </w:rPr>
        <w:t>(2.4</w:t>
      </w:r>
      <w:r>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hint="eastAsia"/>
          <w:sz w:val="22"/>
        </w:rPr>
        <w:t>減少し、持ち家住宅率（居住世帯のある住宅に占める割合）は</w:t>
      </w:r>
      <w:r>
        <w:rPr>
          <w:rFonts w:asciiTheme="majorEastAsia" w:eastAsiaTheme="majorEastAsia" w:hAnsiTheme="majorEastAsia" w:hint="eastAsia"/>
          <w:sz w:val="22"/>
        </w:rPr>
        <w:t>77.3</w:t>
      </w:r>
      <w:r>
        <w:rPr>
          <w:rFonts w:asciiTheme="majorEastAsia" w:eastAsiaTheme="majorEastAsia" w:hAnsiTheme="majorEastAsia" w:hint="eastAsia"/>
          <w:sz w:val="22"/>
        </w:rPr>
        <w:t>％で全国第１位</w:t>
      </w:r>
    </w:p>
    <w:p w14:paraId="55F3B221" w14:textId="77777777" w:rsidR="00086DAA" w:rsidRDefault="005541F6">
      <w:pPr>
        <w:ind w:left="233" w:hangingChars="118" w:hanging="233"/>
        <w:jc w:val="center"/>
        <w:rPr>
          <w:rFonts w:asciiTheme="majorEastAsia" w:eastAsiaTheme="majorEastAsia" w:hAnsiTheme="majorEastAsia"/>
          <w:sz w:val="24"/>
        </w:rPr>
      </w:pPr>
      <w:r>
        <w:rPr>
          <w:noProof/>
        </w:rPr>
        <w:drawing>
          <wp:inline distT="0" distB="0" distL="0" distR="0" wp14:anchorId="04AEA9CF" wp14:editId="467412AB">
            <wp:extent cx="5795645" cy="952500"/>
            <wp:effectExtent l="0" t="0" r="14605" b="0"/>
            <wp:docPr id="103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058664" w14:textId="77777777" w:rsidR="00086DAA" w:rsidRDefault="00086DAA">
      <w:pPr>
        <w:ind w:left="268" w:hangingChars="118" w:hanging="268"/>
        <w:jc w:val="left"/>
        <w:rPr>
          <w:rFonts w:asciiTheme="majorEastAsia" w:eastAsiaTheme="majorEastAsia" w:hAnsiTheme="majorEastAsia"/>
          <w:sz w:val="24"/>
        </w:rPr>
      </w:pPr>
    </w:p>
    <w:p w14:paraId="4C015B1B" w14:textId="77777777" w:rsidR="00086DAA" w:rsidRDefault="005541F6">
      <w:pPr>
        <w:ind w:left="246" w:hangingChars="118" w:hanging="246"/>
        <w:jc w:val="left"/>
        <w:rPr>
          <w:rFonts w:asciiTheme="majorEastAsia" w:eastAsiaTheme="majorEastAsia" w:hAnsiTheme="majorEastAsia"/>
          <w:sz w:val="24"/>
        </w:rPr>
      </w:pPr>
      <w:r>
        <w:rPr>
          <w:rFonts w:asciiTheme="majorEastAsia" w:eastAsiaTheme="majorEastAsia" w:hAnsiTheme="majorEastAsia"/>
          <w:b/>
          <w:noProof/>
          <w:sz w:val="22"/>
        </w:rPr>
        <w:lastRenderedPageBreak/>
        <mc:AlternateContent>
          <mc:Choice Requires="wps">
            <w:drawing>
              <wp:anchor distT="0" distB="0" distL="114300" distR="114300" simplePos="0" relativeHeight="23" behindDoc="0" locked="0" layoutInCell="1" hidden="0" allowOverlap="1" wp14:anchorId="2E996383" wp14:editId="4D8B6551">
                <wp:simplePos x="0" y="0"/>
                <wp:positionH relativeFrom="column">
                  <wp:posOffset>-635</wp:posOffset>
                </wp:positionH>
                <wp:positionV relativeFrom="paragraph">
                  <wp:posOffset>55245</wp:posOffset>
                </wp:positionV>
                <wp:extent cx="6048375" cy="533400"/>
                <wp:effectExtent l="19050" t="17780" r="47625" b="39370"/>
                <wp:wrapNone/>
                <wp:docPr id="1035" name="角丸四角形 2"/>
                <wp:cNvGraphicFramePr/>
                <a:graphic xmlns:a="http://schemas.openxmlformats.org/drawingml/2006/main">
                  <a:graphicData uri="http://schemas.microsoft.com/office/word/2010/wordprocessingShape">
                    <wps:wsp>
                      <wps:cNvSpPr/>
                      <wps:spPr>
                        <a:xfrm>
                          <a:off x="0" y="0"/>
                          <a:ext cx="6048375" cy="533400"/>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0EC40C16"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◆専用住宅の１住宅当たりの延べ面積は</w:t>
                            </w:r>
                            <w:r>
                              <w:rPr>
                                <w:rFonts w:ascii="HG丸ｺﾞｼｯｸM-PRO" w:eastAsia="HG丸ｺﾞｼｯｸM-PRO" w:hAnsi="HG丸ｺﾞｼｯｸM-PRO" w:hint="eastAsia"/>
                                <w:b/>
                                <w:sz w:val="24"/>
                              </w:rPr>
                              <w:t>130.41</w:t>
                            </w:r>
                            <w:r>
                              <w:rPr>
                                <w:rFonts w:ascii="HG丸ｺﾞｼｯｸM-PRO" w:eastAsia="HG丸ｺﾞｼｯｸM-PRO" w:hAnsi="HG丸ｺﾞｼｯｸM-PRO" w:hint="eastAsia"/>
                                <w:b/>
                                <w:sz w:val="24"/>
                              </w:rPr>
                              <w:t>㎡</w:t>
                            </w:r>
                          </w:p>
                          <w:p w14:paraId="12106B95"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◆専用住宅の１人当たり居住室の畳数は</w:t>
                            </w:r>
                            <w:r>
                              <w:rPr>
                                <w:rFonts w:ascii="HG丸ｺﾞｼｯｸM-PRO" w:eastAsia="HG丸ｺﾞｼｯｸM-PRO" w:hAnsi="HG丸ｺﾞｼｯｸM-PRO" w:hint="eastAsia"/>
                                <w:b/>
                                <w:sz w:val="24"/>
                              </w:rPr>
                              <w:t>17.73</w:t>
                            </w:r>
                            <w:r>
                              <w:rPr>
                                <w:rFonts w:ascii="HG丸ｺﾞｼｯｸM-PRO" w:eastAsia="HG丸ｺﾞｼｯｸM-PRO" w:hAnsi="HG丸ｺﾞｼｯｸM-PRO" w:hint="eastAsia"/>
                                <w:b/>
                                <w:sz w:val="24"/>
                              </w:rPr>
                              <w:t>畳で全国第一位</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2" style="mso-wrap-distance-right:9pt;mso-wrap-distance-bottom:0pt;margin-top:4.34pt;mso-position-vertical-relative:text;mso-position-horizontal-relative:text;v-text-anchor:top;position:absolute;height:42pt;mso-wrap-distance-top:0pt;width:476.25pt;mso-wrap-distance-left:9pt;margin-left:-5.e-002pt;z-index:23;" o:spid="_x0000_s1035" o:allowincell="t" o:allowoverlap="t" filled="t" fillcolor="#ffffff" stroked="t" strokecolor="#0000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◆専用住宅の１住宅当たりの延べ面積は</w:t>
                      </w:r>
                      <w:r>
                        <w:rPr>
                          <w:rFonts w:hint="eastAsia" w:ascii="HG丸ｺﾞｼｯｸM-PRO" w:hAnsi="HG丸ｺﾞｼｯｸM-PRO" w:eastAsia="HG丸ｺﾞｼｯｸM-PRO"/>
                          <w:b w:val="1"/>
                          <w:sz w:val="24"/>
                        </w:rPr>
                        <w:t>130.41</w:t>
                      </w:r>
                      <w:r>
                        <w:rPr>
                          <w:rFonts w:hint="eastAsia" w:ascii="HG丸ｺﾞｼｯｸM-PRO" w:hAnsi="HG丸ｺﾞｼｯｸM-PRO" w:eastAsia="HG丸ｺﾞｼｯｸM-PRO"/>
                          <w:b w:val="1"/>
                          <w:sz w:val="24"/>
                        </w:rPr>
                        <w:t>㎡</w:t>
                      </w:r>
                    </w:p>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◆専用住宅の１人当たり居住室の畳数は</w:t>
                      </w:r>
                      <w:r>
                        <w:rPr>
                          <w:rFonts w:hint="eastAsia" w:ascii="HG丸ｺﾞｼｯｸM-PRO" w:hAnsi="HG丸ｺﾞｼｯｸM-PRO" w:eastAsia="HG丸ｺﾞｼｯｸM-PRO"/>
                          <w:b w:val="1"/>
                          <w:sz w:val="24"/>
                        </w:rPr>
                        <w:t>17.73</w:t>
                      </w:r>
                      <w:r>
                        <w:rPr>
                          <w:rFonts w:hint="eastAsia" w:ascii="HG丸ｺﾞｼｯｸM-PRO" w:hAnsi="HG丸ｺﾞｼｯｸM-PRO" w:eastAsia="HG丸ｺﾞｼｯｸM-PRO"/>
                          <w:b w:val="1"/>
                          <w:sz w:val="24"/>
                        </w:rPr>
                        <w:t>畳で全国第一位</w:t>
                      </w:r>
                    </w:p>
                  </w:txbxContent>
                </v:textbox>
                <v:imagedata o:title=""/>
                <w10:wrap type="none" anchorx="text" anchory="text"/>
              </v:roundrect>
            </w:pict>
          </mc:Fallback>
        </mc:AlternateContent>
      </w:r>
    </w:p>
    <w:p w14:paraId="6B10FE2A" w14:textId="77777777" w:rsidR="00086DAA" w:rsidRDefault="00086DAA">
      <w:pPr>
        <w:ind w:left="268" w:hangingChars="118" w:hanging="268"/>
        <w:jc w:val="left"/>
        <w:rPr>
          <w:rFonts w:asciiTheme="majorEastAsia" w:eastAsiaTheme="majorEastAsia" w:hAnsiTheme="majorEastAsia"/>
          <w:sz w:val="24"/>
        </w:rPr>
      </w:pPr>
    </w:p>
    <w:p w14:paraId="05F37105" w14:textId="77777777" w:rsidR="00086DAA" w:rsidRDefault="00086DAA">
      <w:pPr>
        <w:ind w:left="268" w:hangingChars="118" w:hanging="268"/>
        <w:jc w:val="left"/>
        <w:rPr>
          <w:rFonts w:asciiTheme="majorEastAsia" w:eastAsiaTheme="majorEastAsia" w:hAnsiTheme="majorEastAsia"/>
          <w:sz w:val="24"/>
        </w:rPr>
      </w:pPr>
    </w:p>
    <w:p w14:paraId="674385AF"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sz w:val="22"/>
        </w:rPr>
        <w:t>〇</w:t>
      </w:r>
      <w:r>
        <w:rPr>
          <w:rFonts w:asciiTheme="majorEastAsia" w:eastAsiaTheme="majorEastAsia" w:hAnsiTheme="majorEastAsia" w:hint="eastAsia"/>
          <w:sz w:val="22"/>
        </w:rPr>
        <w:t>居住専用に建築された住宅（専用住宅）の</w:t>
      </w:r>
      <w:r>
        <w:rPr>
          <w:rFonts w:asciiTheme="majorEastAsia" w:eastAsiaTheme="majorEastAsia" w:hAnsiTheme="majorEastAsia" w:hint="eastAsia"/>
          <w:sz w:val="22"/>
        </w:rPr>
        <w:t>1</w:t>
      </w:r>
      <w:r>
        <w:rPr>
          <w:rFonts w:asciiTheme="majorEastAsia" w:eastAsiaTheme="majorEastAsia" w:hAnsiTheme="majorEastAsia" w:hint="eastAsia"/>
          <w:sz w:val="22"/>
        </w:rPr>
        <w:t>住宅当たり延べ面積は</w:t>
      </w:r>
      <w:r>
        <w:rPr>
          <w:rFonts w:asciiTheme="majorEastAsia" w:eastAsiaTheme="majorEastAsia" w:hAnsiTheme="majorEastAsia" w:hint="eastAsia"/>
          <w:sz w:val="22"/>
        </w:rPr>
        <w:t>130.41</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6.17</w:t>
      </w:r>
      <w:r>
        <w:rPr>
          <w:rFonts w:asciiTheme="majorEastAsia" w:eastAsiaTheme="majorEastAsia" w:hAnsiTheme="majorEastAsia" w:hint="eastAsia"/>
          <w:sz w:val="22"/>
        </w:rPr>
        <w:t>㎡減少し、全国第</w:t>
      </w:r>
      <w:r>
        <w:rPr>
          <w:rFonts w:asciiTheme="majorEastAsia" w:eastAsiaTheme="majorEastAsia" w:hAnsiTheme="majorEastAsia" w:hint="eastAsia"/>
          <w:sz w:val="22"/>
        </w:rPr>
        <w:t>4</w:t>
      </w:r>
      <w:r>
        <w:rPr>
          <w:rFonts w:asciiTheme="majorEastAsia" w:eastAsiaTheme="majorEastAsia" w:hAnsiTheme="majorEastAsia" w:hint="eastAsia"/>
          <w:sz w:val="22"/>
        </w:rPr>
        <w:t>位</w:t>
      </w:r>
    </w:p>
    <w:p w14:paraId="246C859C"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〇専用住宅の</w:t>
      </w:r>
      <w:r>
        <w:rPr>
          <w:rFonts w:asciiTheme="majorEastAsia" w:eastAsiaTheme="majorEastAsia" w:hAnsiTheme="majorEastAsia" w:hint="eastAsia"/>
          <w:sz w:val="22"/>
        </w:rPr>
        <w:t>1</w:t>
      </w:r>
      <w:r>
        <w:rPr>
          <w:rFonts w:asciiTheme="majorEastAsia" w:eastAsiaTheme="majorEastAsia" w:hAnsiTheme="majorEastAsia" w:hint="eastAsia"/>
          <w:sz w:val="22"/>
        </w:rPr>
        <w:t>人当たり居住室の畳数は</w:t>
      </w:r>
      <w:r>
        <w:rPr>
          <w:rFonts w:asciiTheme="majorEastAsia" w:eastAsiaTheme="majorEastAsia" w:hAnsiTheme="majorEastAsia" w:hint="eastAsia"/>
          <w:sz w:val="22"/>
        </w:rPr>
        <w:t>17.73</w:t>
      </w:r>
      <w:r>
        <w:rPr>
          <w:rFonts w:asciiTheme="majorEastAsia" w:eastAsiaTheme="majorEastAsia" w:hAnsiTheme="majorEastAsia" w:hint="eastAsia"/>
          <w:sz w:val="22"/>
        </w:rPr>
        <w:t>畳で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0.50</w:t>
      </w:r>
      <w:r>
        <w:rPr>
          <w:rFonts w:asciiTheme="majorEastAsia" w:eastAsiaTheme="majorEastAsia" w:hAnsiTheme="majorEastAsia" w:hint="eastAsia"/>
          <w:sz w:val="22"/>
        </w:rPr>
        <w:t>畳増加し、全国第１位</w:t>
      </w:r>
    </w:p>
    <w:p w14:paraId="724E6EE3" w14:textId="77777777" w:rsidR="00086DAA" w:rsidRDefault="005541F6">
      <w:pPr>
        <w:jc w:val="center"/>
        <w:rPr>
          <w:rFonts w:asciiTheme="majorEastAsia" w:eastAsiaTheme="majorEastAsia" w:hAnsiTheme="majorEastAsia"/>
          <w:sz w:val="24"/>
        </w:rPr>
      </w:pPr>
      <w:hyperlink r:id="rId12" w:history="1">
        <w:r>
          <w:rPr>
            <w:rFonts w:asciiTheme="majorEastAsia" w:eastAsiaTheme="majorEastAsia" w:hAnsiTheme="majorEastAsia"/>
            <w:sz w:val="24"/>
          </w:rPr>
          <w:object w:dxaOrig="6675" w:dyaOrig="2175" w14:anchorId="77BAAE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4pt;height:93.6pt" o:ole="">
              <v:imagedata r:id="rId13" o:title=""/>
            </v:shape>
            <o:OLEObject Type="Embed" ProgID="Excel.Sheet.12" ShapeID="_x0000_i1025" DrawAspect="Content" ObjectID="_1739084493" r:id="rId14"/>
          </w:object>
        </w:r>
      </w:hyperlink>
    </w:p>
    <w:p w14:paraId="4600E3AA" w14:textId="77777777" w:rsidR="00086DAA" w:rsidRDefault="005541F6">
      <w:pPr>
        <w:ind w:left="246" w:hangingChars="118" w:hanging="246"/>
        <w:jc w:val="left"/>
        <w:rPr>
          <w:rFonts w:asciiTheme="majorEastAsia" w:eastAsiaTheme="majorEastAsia" w:hAnsiTheme="majorEastAsia"/>
          <w:sz w:val="24"/>
        </w:rPr>
      </w:pPr>
      <w:r>
        <w:rPr>
          <w:rFonts w:asciiTheme="majorEastAsia" w:eastAsiaTheme="majorEastAsia" w:hAnsiTheme="majorEastAsia"/>
          <w:b/>
          <w:noProof/>
          <w:sz w:val="22"/>
        </w:rPr>
        <mc:AlternateContent>
          <mc:Choice Requires="wps">
            <w:drawing>
              <wp:anchor distT="0" distB="0" distL="114300" distR="114300" simplePos="0" relativeHeight="3" behindDoc="0" locked="0" layoutInCell="1" hidden="0" allowOverlap="1" wp14:anchorId="4FBC3860" wp14:editId="02CB946B">
                <wp:simplePos x="0" y="0"/>
                <wp:positionH relativeFrom="column">
                  <wp:posOffset>-635</wp:posOffset>
                </wp:positionH>
                <wp:positionV relativeFrom="paragraph">
                  <wp:posOffset>40005</wp:posOffset>
                </wp:positionV>
                <wp:extent cx="6048375" cy="514350"/>
                <wp:effectExtent l="19050" t="15875" r="47625" b="41275"/>
                <wp:wrapNone/>
                <wp:docPr id="1037" name="角丸四角形 3"/>
                <wp:cNvGraphicFramePr/>
                <a:graphic xmlns:a="http://schemas.openxmlformats.org/drawingml/2006/main">
                  <a:graphicData uri="http://schemas.microsoft.com/office/word/2010/wordprocessingShape">
                    <wps:wsp>
                      <wps:cNvSpPr/>
                      <wps:spPr>
                        <a:xfrm>
                          <a:off x="0" y="0"/>
                          <a:ext cx="6048375" cy="514350"/>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4BDEE496"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◆高齢者等のための設備がある住宅は</w:t>
                            </w:r>
                            <w:r>
                              <w:rPr>
                                <w:rFonts w:ascii="HG丸ｺﾞｼｯｸM-PRO" w:eastAsia="HG丸ｺﾞｼｯｸM-PRO" w:hAnsi="HG丸ｺﾞｼｯｸM-PRO" w:hint="eastAsia"/>
                                <w:b/>
                                <w:sz w:val="24"/>
                              </w:rPr>
                              <w:t>55.9</w:t>
                            </w:r>
                            <w:r>
                              <w:rPr>
                                <w:rFonts w:ascii="HG丸ｺﾞｼｯｸM-PRO" w:eastAsia="HG丸ｺﾞｼｯｸM-PRO" w:hAnsi="HG丸ｺﾞｼｯｸM-PRO" w:hint="eastAsia"/>
                                <w:b/>
                                <w:sz w:val="24"/>
                              </w:rPr>
                              <w:t>％</w:t>
                            </w:r>
                          </w:p>
                          <w:p w14:paraId="40F4208A"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◆設備の中では「手すりのある」住宅が</w:t>
                            </w:r>
                            <w:r>
                              <w:rPr>
                                <w:rFonts w:ascii="HG丸ｺﾞｼｯｸM-PRO" w:eastAsia="HG丸ｺﾞｼｯｸM-PRO" w:hAnsi="HG丸ｺﾞｼｯｸM-PRO" w:hint="eastAsia"/>
                                <w:b/>
                                <w:sz w:val="24"/>
                              </w:rPr>
                              <w:t>49.3</w:t>
                            </w:r>
                            <w:r>
                              <w:rPr>
                                <w:rFonts w:ascii="HG丸ｺﾞｼｯｸM-PRO" w:eastAsia="HG丸ｺﾞｼｯｸM-PRO" w:hAnsi="HG丸ｺﾞｼｯｸM-PRO" w:hint="eastAsia"/>
                                <w:b/>
                                <w:sz w:val="24"/>
                              </w:rPr>
                              <w:t>％で最多</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3" style="mso-wrap-distance-right:9pt;mso-wrap-distance-bottom:0pt;margin-top:3.15pt;mso-position-vertical-relative:text;mso-position-horizontal-relative:text;v-text-anchor:top;position:absolute;height:40.5pt;mso-wrap-distance-top:0pt;width:476.25pt;mso-wrap-distance-left:9pt;margin-left:-5.e-002pt;z-index:3;" o:spid="_x0000_s1037" o:allowincell="t" o:allowoverlap="t" filled="t" fillcolor="#ffffff" stroked="t" strokecolor="#0000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◆高齢者等のための設備がある住宅は</w:t>
                      </w:r>
                      <w:r>
                        <w:rPr>
                          <w:rFonts w:hint="eastAsia" w:ascii="HG丸ｺﾞｼｯｸM-PRO" w:hAnsi="HG丸ｺﾞｼｯｸM-PRO" w:eastAsia="HG丸ｺﾞｼｯｸM-PRO"/>
                          <w:b w:val="1"/>
                          <w:sz w:val="24"/>
                        </w:rPr>
                        <w:t>55.9</w:t>
                      </w:r>
                      <w:r>
                        <w:rPr>
                          <w:rFonts w:hint="eastAsia" w:ascii="HG丸ｺﾞｼｯｸM-PRO" w:hAnsi="HG丸ｺﾞｼｯｸM-PRO" w:eastAsia="HG丸ｺﾞｼｯｸM-PRO"/>
                          <w:b w:val="1"/>
                          <w:sz w:val="24"/>
                        </w:rPr>
                        <w:t>％</w:t>
                      </w:r>
                    </w:p>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◆設備の中では「手すりのある」住宅が</w:t>
                      </w:r>
                      <w:r>
                        <w:rPr>
                          <w:rFonts w:hint="eastAsia" w:ascii="HG丸ｺﾞｼｯｸM-PRO" w:hAnsi="HG丸ｺﾞｼｯｸM-PRO" w:eastAsia="HG丸ｺﾞｼｯｸM-PRO"/>
                          <w:b w:val="1"/>
                          <w:sz w:val="24"/>
                        </w:rPr>
                        <w:t>49.3</w:t>
                      </w:r>
                      <w:r>
                        <w:rPr>
                          <w:rFonts w:hint="eastAsia" w:ascii="HG丸ｺﾞｼｯｸM-PRO" w:hAnsi="HG丸ｺﾞｼｯｸM-PRO" w:eastAsia="HG丸ｺﾞｼｯｸM-PRO"/>
                          <w:b w:val="1"/>
                          <w:sz w:val="24"/>
                        </w:rPr>
                        <w:t>％で最多</w:t>
                      </w:r>
                    </w:p>
                  </w:txbxContent>
                </v:textbox>
                <v:imagedata o:title=""/>
                <w10:wrap type="none" anchorx="text" anchory="text"/>
              </v:roundrect>
            </w:pict>
          </mc:Fallback>
        </mc:AlternateContent>
      </w:r>
    </w:p>
    <w:p w14:paraId="2B2ACB7F" w14:textId="77777777" w:rsidR="00086DAA" w:rsidRDefault="00086DAA">
      <w:pPr>
        <w:ind w:left="268" w:hangingChars="118" w:hanging="268"/>
        <w:jc w:val="left"/>
        <w:rPr>
          <w:rFonts w:asciiTheme="majorEastAsia" w:eastAsiaTheme="majorEastAsia" w:hAnsiTheme="majorEastAsia"/>
          <w:sz w:val="24"/>
        </w:rPr>
      </w:pPr>
    </w:p>
    <w:p w14:paraId="23CD9FB4" w14:textId="77777777" w:rsidR="00086DAA" w:rsidRDefault="00086DAA">
      <w:pPr>
        <w:ind w:left="268" w:hangingChars="118" w:hanging="268"/>
        <w:jc w:val="left"/>
        <w:rPr>
          <w:rFonts w:asciiTheme="majorEastAsia" w:eastAsiaTheme="majorEastAsia" w:hAnsiTheme="majorEastAsia"/>
          <w:sz w:val="24"/>
        </w:rPr>
      </w:pPr>
    </w:p>
    <w:p w14:paraId="22748AB1" w14:textId="77777777" w:rsidR="00086DAA" w:rsidRDefault="005541F6">
      <w:pPr>
        <w:ind w:left="221" w:hangingChars="118" w:hanging="221"/>
        <w:jc w:val="left"/>
        <w:rPr>
          <w:rFonts w:asciiTheme="majorEastAsia" w:eastAsiaTheme="majorEastAsia" w:hAnsiTheme="majorEastAsia"/>
          <w:sz w:val="22"/>
        </w:rPr>
      </w:pPr>
      <w:r>
        <w:rPr>
          <w:noProof/>
          <w:sz w:val="20"/>
        </w:rPr>
        <w:drawing>
          <wp:anchor distT="0" distB="0" distL="114300" distR="114300" simplePos="0" relativeHeight="36" behindDoc="0" locked="0" layoutInCell="1" hidden="0" allowOverlap="1" wp14:anchorId="570982AB" wp14:editId="1D65B35D">
            <wp:simplePos x="0" y="0"/>
            <wp:positionH relativeFrom="column">
              <wp:posOffset>3361690</wp:posOffset>
            </wp:positionH>
            <wp:positionV relativeFrom="paragraph">
              <wp:posOffset>19050</wp:posOffset>
            </wp:positionV>
            <wp:extent cx="2686050" cy="1609725"/>
            <wp:effectExtent l="0" t="0" r="0" b="9525"/>
            <wp:wrapSquare wrapText="bothSides"/>
            <wp:docPr id="103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heme="majorEastAsia" w:eastAsiaTheme="majorEastAsia" w:hAnsiTheme="majorEastAsia" w:hint="eastAsia"/>
          <w:sz w:val="22"/>
        </w:rPr>
        <w:t>〇高齢者等のための設備がある住宅は</w:t>
      </w:r>
      <w:r>
        <w:rPr>
          <w:rFonts w:asciiTheme="majorEastAsia" w:eastAsiaTheme="majorEastAsia" w:hAnsiTheme="majorEastAsia" w:hint="eastAsia"/>
          <w:sz w:val="22"/>
        </w:rPr>
        <w:t>214,600</w:t>
      </w:r>
      <w:r>
        <w:rPr>
          <w:rFonts w:asciiTheme="majorEastAsia" w:eastAsiaTheme="majorEastAsia" w:hAnsiTheme="majorEastAsia" w:hint="eastAsia"/>
          <w:sz w:val="22"/>
        </w:rPr>
        <w:t>戸で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4,800</w:t>
      </w:r>
      <w:r>
        <w:rPr>
          <w:rFonts w:asciiTheme="majorEastAsia" w:eastAsiaTheme="majorEastAsia" w:hAnsiTheme="majorEastAsia" w:hint="eastAsia"/>
          <w:sz w:val="22"/>
        </w:rPr>
        <w:t>戸減少、住宅全体に占める割合は</w:t>
      </w:r>
      <w:r>
        <w:rPr>
          <w:rFonts w:asciiTheme="majorEastAsia" w:eastAsiaTheme="majorEastAsia" w:hAnsiTheme="majorEastAsia" w:hint="eastAsia"/>
          <w:sz w:val="22"/>
        </w:rPr>
        <w:t>55.9</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0.5</w:t>
      </w:r>
      <w:r>
        <w:rPr>
          <w:rFonts w:asciiTheme="majorEastAsia" w:eastAsiaTheme="majorEastAsia" w:hAnsiTheme="majorEastAsia" w:hint="eastAsia"/>
          <w:sz w:val="22"/>
        </w:rPr>
        <w:t>ポイント減少</w:t>
      </w:r>
    </w:p>
    <w:p w14:paraId="6BF97B05"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〇高齢者等のための設備の中では、「手すりがある」住宅が</w:t>
      </w:r>
      <w:r>
        <w:rPr>
          <w:rFonts w:asciiTheme="majorEastAsia" w:eastAsiaTheme="majorEastAsia" w:hAnsiTheme="majorEastAsia" w:hint="eastAsia"/>
          <w:sz w:val="22"/>
        </w:rPr>
        <w:t>189,400</w:t>
      </w:r>
      <w:r>
        <w:rPr>
          <w:rFonts w:asciiTheme="majorEastAsia" w:eastAsiaTheme="majorEastAsia" w:hAnsiTheme="majorEastAsia" w:hint="eastAsia"/>
          <w:sz w:val="22"/>
        </w:rPr>
        <w:t>戸（</w:t>
      </w:r>
      <w:r>
        <w:rPr>
          <w:rFonts w:asciiTheme="majorEastAsia" w:eastAsiaTheme="majorEastAsia" w:hAnsiTheme="majorEastAsia" w:hint="eastAsia"/>
          <w:sz w:val="22"/>
        </w:rPr>
        <w:t>49.3</w:t>
      </w:r>
      <w:r>
        <w:rPr>
          <w:rFonts w:asciiTheme="majorEastAsia" w:eastAsiaTheme="majorEastAsia" w:hAnsiTheme="majorEastAsia" w:hint="eastAsia"/>
          <w:sz w:val="22"/>
        </w:rPr>
        <w:t>％）で最多</w:t>
      </w:r>
    </w:p>
    <w:p w14:paraId="5CF15D09" w14:textId="77777777" w:rsidR="00086DAA" w:rsidRDefault="00086DAA">
      <w:pPr>
        <w:ind w:left="268" w:hangingChars="118" w:hanging="268"/>
        <w:jc w:val="left"/>
        <w:rPr>
          <w:rFonts w:asciiTheme="majorEastAsia" w:eastAsiaTheme="majorEastAsia" w:hAnsiTheme="majorEastAsia"/>
          <w:sz w:val="24"/>
        </w:rPr>
      </w:pPr>
    </w:p>
    <w:p w14:paraId="328B039A" w14:textId="77777777" w:rsidR="00086DAA" w:rsidRDefault="00086DAA">
      <w:pPr>
        <w:ind w:left="268" w:hangingChars="118" w:hanging="268"/>
        <w:jc w:val="left"/>
        <w:rPr>
          <w:rFonts w:asciiTheme="majorEastAsia" w:eastAsiaTheme="majorEastAsia" w:hAnsiTheme="majorEastAsia"/>
          <w:sz w:val="24"/>
        </w:rPr>
      </w:pPr>
    </w:p>
    <w:p w14:paraId="1A1602EA" w14:textId="77777777" w:rsidR="00086DAA" w:rsidRDefault="005541F6">
      <w:pPr>
        <w:ind w:left="246" w:hangingChars="118" w:hanging="246"/>
        <w:jc w:val="left"/>
        <w:rPr>
          <w:rFonts w:asciiTheme="majorEastAsia" w:eastAsiaTheme="majorEastAsia" w:hAnsiTheme="majorEastAsia"/>
          <w:sz w:val="24"/>
        </w:rPr>
      </w:pPr>
      <w:r>
        <w:rPr>
          <w:rFonts w:asciiTheme="majorEastAsia" w:eastAsiaTheme="majorEastAsia" w:hAnsiTheme="majorEastAsia"/>
          <w:b/>
          <w:noProof/>
          <w:sz w:val="22"/>
        </w:rPr>
        <mc:AlternateContent>
          <mc:Choice Requires="wps">
            <w:drawing>
              <wp:anchor distT="0" distB="0" distL="114300" distR="114300" simplePos="0" relativeHeight="28" behindDoc="0" locked="0" layoutInCell="1" hidden="0" allowOverlap="1" wp14:anchorId="09F9F15F" wp14:editId="54AD73EC">
                <wp:simplePos x="0" y="0"/>
                <wp:positionH relativeFrom="column">
                  <wp:posOffset>1905</wp:posOffset>
                </wp:positionH>
                <wp:positionV relativeFrom="paragraph">
                  <wp:posOffset>207645</wp:posOffset>
                </wp:positionV>
                <wp:extent cx="6048375" cy="638175"/>
                <wp:effectExtent l="21590" t="18415" r="45085" b="38735"/>
                <wp:wrapNone/>
                <wp:docPr id="1039" name="角丸四角形 5"/>
                <wp:cNvGraphicFramePr/>
                <a:graphic xmlns:a="http://schemas.openxmlformats.org/drawingml/2006/main">
                  <a:graphicData uri="http://schemas.microsoft.com/office/word/2010/wordprocessingShape">
                    <wps:wsp>
                      <wps:cNvSpPr/>
                      <wps:spPr>
                        <a:xfrm>
                          <a:off x="0" y="0"/>
                          <a:ext cx="6048375" cy="638175"/>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0B1EF3FD"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◆高齢者</w:t>
                            </w:r>
                            <w:r>
                              <w:rPr>
                                <w:rFonts w:ascii="HG丸ｺﾞｼｯｸM-PRO" w:eastAsia="HG丸ｺﾞｼｯｸM-PRO" w:hAnsi="HG丸ｺﾞｼｯｸM-PRO" w:hint="eastAsia"/>
                                <w:b/>
                                <w:sz w:val="24"/>
                              </w:rPr>
                              <w:t>(65</w:t>
                            </w:r>
                            <w:r>
                              <w:rPr>
                                <w:rFonts w:ascii="HG丸ｺﾞｼｯｸM-PRO" w:eastAsia="HG丸ｺﾞｼｯｸM-PRO" w:hAnsi="HG丸ｺﾞｼｯｸM-PRO" w:hint="eastAsia"/>
                                <w:b/>
                                <w:sz w:val="24"/>
                              </w:rPr>
                              <w:t>歳以上世帯員</w:t>
                            </w:r>
                            <w:r>
                              <w:rPr>
                                <w:rFonts w:ascii="HG丸ｺﾞｼｯｸM-PRO" w:eastAsia="HG丸ｺﾞｼｯｸM-PRO" w:hAnsi="HG丸ｺﾞｼｯｸM-PRO" w:hint="eastAsia"/>
                                <w:b/>
                                <w:sz w:val="24"/>
                              </w:rPr>
                              <w:t>)</w:t>
                            </w:r>
                            <w:r>
                              <w:rPr>
                                <w:rFonts w:ascii="HG丸ｺﾞｼｯｸM-PRO" w:eastAsia="HG丸ｺﾞｼｯｸM-PRO" w:hAnsi="HG丸ｺﾞｼｯｸM-PRO" w:hint="eastAsia"/>
                                <w:b/>
                                <w:sz w:val="24"/>
                              </w:rPr>
                              <w:t>のいる世帯は主世帯全体の</w:t>
                            </w:r>
                            <w:r>
                              <w:rPr>
                                <w:rFonts w:ascii="HG丸ｺﾞｼｯｸM-PRO" w:eastAsia="HG丸ｺﾞｼｯｸM-PRO" w:hAnsi="HG丸ｺﾞｼｯｸM-PRO" w:hint="eastAsia"/>
                                <w:b/>
                                <w:sz w:val="24"/>
                              </w:rPr>
                              <w:t>56.8</w:t>
                            </w:r>
                            <w:r>
                              <w:rPr>
                                <w:rFonts w:ascii="HG丸ｺﾞｼｯｸM-PRO" w:eastAsia="HG丸ｺﾞｼｯｸM-PRO" w:hAnsi="HG丸ｺﾞｼｯｸM-PRO" w:hint="eastAsia"/>
                                <w:b/>
                                <w:sz w:val="24"/>
                              </w:rPr>
                              <w:t>％</w:t>
                            </w:r>
                          </w:p>
                          <w:p w14:paraId="3D82D83F"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Pr>
                                <w:rFonts w:ascii="HG丸ｺﾞｼｯｸM-PRO" w:eastAsia="HG丸ｺﾞｼｯｸM-PRO" w:hAnsi="HG丸ｺﾞｼｯｸM-PRO" w:hint="eastAsia"/>
                                <w:b/>
                                <w:sz w:val="24"/>
                              </w:rPr>
                              <w:t>75</w:t>
                            </w:r>
                            <w:r>
                              <w:rPr>
                                <w:rFonts w:ascii="HG丸ｺﾞｼｯｸM-PRO" w:eastAsia="HG丸ｺﾞｼｯｸM-PRO" w:hAnsi="HG丸ｺﾞｼｯｸM-PRO" w:hint="eastAsia"/>
                                <w:b/>
                                <w:sz w:val="24"/>
                              </w:rPr>
                              <w:t>歳以上世帯員のいる世帯は主世帯全体の</w:t>
                            </w:r>
                            <w:r>
                              <w:rPr>
                                <w:rFonts w:ascii="HG丸ｺﾞｼｯｸM-PRO" w:eastAsia="HG丸ｺﾞｼｯｸM-PRO" w:hAnsi="HG丸ｺﾞｼｯｸM-PRO" w:hint="eastAsia"/>
                                <w:b/>
                                <w:sz w:val="24"/>
                              </w:rPr>
                              <w:t>33.9</w:t>
                            </w:r>
                            <w:r>
                              <w:rPr>
                                <w:rFonts w:ascii="HG丸ｺﾞｼｯｸM-PRO" w:eastAsia="HG丸ｺﾞｼｯｸM-PRO" w:hAnsi="HG丸ｺﾞｼｯｸM-PRO" w:hint="eastAsia"/>
                                <w:b/>
                                <w:sz w:val="24"/>
                              </w:rPr>
                              <w:t>％</w:t>
                            </w:r>
                          </w:p>
                        </w:txbxContent>
                      </wps:txbx>
                      <wps:bodyPr rot="0" vertOverflow="overflow" horzOverflow="overflow" wrap="square" numCol="1" spcCol="0" rtlCol="0" fromWordArt="0" anchor="t" anchorCtr="0" forceAA="0" compatLnSpc="1"/>
                    </wps:wsp>
                  </a:graphicData>
                </a:graphic>
              </wp:anchor>
            </w:drawing>
          </mc:Choice>
          <mc:Fallback>
            <w:pict>
              <v:roundrect id="角丸四角形 5" style="mso-wrap-distance-right:9pt;mso-wrap-distance-bottom:0pt;margin-top:16.350000000000001pt;mso-position-vertical-relative:text;mso-position-horizontal-relative:text;v-text-anchor:top;position:absolute;height:50.25pt;mso-wrap-distance-top:0pt;width:476.25pt;mso-wrap-distance-left:9pt;margin-left:0.15pt;z-index:28;" o:spid="_x0000_s1039" o:allowincell="t" o:allowoverlap="t" filled="t" fillcolor="#ffffff" stroked="t" strokecolor="#000000" strokeweight="2pt" o:spt="2" arcsize="10883f">
                <v:fill/>
                <v:stroke linestyle="single" endcap="flat" dashstyle="solid" filltype="solid"/>
                <v:textbox style="layout-flow:horizontal;" inset="2.5399999999999996mm,1.2699999999999998mm,2.5399999999999996mm,1.269999999999999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◆高齢者</w:t>
                      </w:r>
                      <w:r>
                        <w:rPr>
                          <w:rFonts w:hint="eastAsia" w:ascii="HG丸ｺﾞｼｯｸM-PRO" w:hAnsi="HG丸ｺﾞｼｯｸM-PRO" w:eastAsia="HG丸ｺﾞｼｯｸM-PRO"/>
                          <w:b w:val="1"/>
                          <w:sz w:val="24"/>
                        </w:rPr>
                        <w:t>(65</w:t>
                      </w:r>
                      <w:r>
                        <w:rPr>
                          <w:rFonts w:hint="eastAsia" w:ascii="HG丸ｺﾞｼｯｸM-PRO" w:hAnsi="HG丸ｺﾞｼｯｸM-PRO" w:eastAsia="HG丸ｺﾞｼｯｸM-PRO"/>
                          <w:b w:val="1"/>
                          <w:sz w:val="24"/>
                        </w:rPr>
                        <w:t>歳以上世帯員</w:t>
                      </w:r>
                      <w:r>
                        <w:rPr>
                          <w:rFonts w:hint="eastAsia" w:ascii="HG丸ｺﾞｼｯｸM-PRO" w:hAnsi="HG丸ｺﾞｼｯｸM-PRO" w:eastAsia="HG丸ｺﾞｼｯｸM-PRO"/>
                          <w:b w:val="1"/>
                          <w:sz w:val="24"/>
                        </w:rPr>
                        <w:t>)</w:t>
                      </w:r>
                      <w:r>
                        <w:rPr>
                          <w:rFonts w:hint="eastAsia" w:ascii="HG丸ｺﾞｼｯｸM-PRO" w:hAnsi="HG丸ｺﾞｼｯｸM-PRO" w:eastAsia="HG丸ｺﾞｼｯｸM-PRO"/>
                          <w:b w:val="1"/>
                          <w:sz w:val="24"/>
                        </w:rPr>
                        <w:t>のいる世帯は主世帯全体の</w:t>
                      </w:r>
                      <w:r>
                        <w:rPr>
                          <w:rFonts w:hint="eastAsia" w:ascii="HG丸ｺﾞｼｯｸM-PRO" w:hAnsi="HG丸ｺﾞｼｯｸM-PRO" w:eastAsia="HG丸ｺﾞｼｯｸM-PRO"/>
                          <w:b w:val="1"/>
                          <w:sz w:val="24"/>
                        </w:rPr>
                        <w:t>56.8</w:t>
                      </w:r>
                      <w:r>
                        <w:rPr>
                          <w:rFonts w:hint="eastAsia" w:ascii="HG丸ｺﾞｼｯｸM-PRO" w:hAnsi="HG丸ｺﾞｼｯｸM-PRO" w:eastAsia="HG丸ｺﾞｼｯｸM-PRO"/>
                          <w:b w:val="1"/>
                          <w:sz w:val="24"/>
                        </w:rPr>
                        <w:t>％</w:t>
                      </w:r>
                    </w:p>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w:t>
                      </w:r>
                      <w:r>
                        <w:rPr>
                          <w:rFonts w:hint="eastAsia" w:ascii="HG丸ｺﾞｼｯｸM-PRO" w:hAnsi="HG丸ｺﾞｼｯｸM-PRO" w:eastAsia="HG丸ｺﾞｼｯｸM-PRO"/>
                          <w:b w:val="1"/>
                          <w:sz w:val="24"/>
                        </w:rPr>
                        <w:t>75</w:t>
                      </w:r>
                      <w:r>
                        <w:rPr>
                          <w:rFonts w:hint="eastAsia" w:ascii="HG丸ｺﾞｼｯｸM-PRO" w:hAnsi="HG丸ｺﾞｼｯｸM-PRO" w:eastAsia="HG丸ｺﾞｼｯｸM-PRO"/>
                          <w:b w:val="1"/>
                          <w:sz w:val="24"/>
                        </w:rPr>
                        <w:t>歳以上世帯員のいる世帯は主世帯全体の</w:t>
                      </w:r>
                      <w:r>
                        <w:rPr>
                          <w:rFonts w:hint="eastAsia" w:ascii="HG丸ｺﾞｼｯｸM-PRO" w:hAnsi="HG丸ｺﾞｼｯｸM-PRO" w:eastAsia="HG丸ｺﾞｼｯｸM-PRO"/>
                          <w:b w:val="1"/>
                          <w:sz w:val="24"/>
                        </w:rPr>
                        <w:t>33.9</w:t>
                      </w:r>
                      <w:r>
                        <w:rPr>
                          <w:rFonts w:hint="eastAsia" w:ascii="HG丸ｺﾞｼｯｸM-PRO" w:hAnsi="HG丸ｺﾞｼｯｸM-PRO" w:eastAsia="HG丸ｺﾞｼｯｸM-PRO"/>
                          <w:b w:val="1"/>
                          <w:sz w:val="24"/>
                        </w:rPr>
                        <w:t>％</w:t>
                      </w:r>
                    </w:p>
                  </w:txbxContent>
                </v:textbox>
                <v:imagedata o:title=""/>
                <w10:wrap type="none" anchorx="text" anchory="text"/>
              </v:roundrect>
            </w:pict>
          </mc:Fallback>
        </mc:AlternateContent>
      </w:r>
    </w:p>
    <w:p w14:paraId="597A87EC" w14:textId="77777777" w:rsidR="00086DAA" w:rsidRDefault="00086DAA">
      <w:pPr>
        <w:ind w:left="268" w:hangingChars="118" w:hanging="268"/>
        <w:jc w:val="left"/>
        <w:rPr>
          <w:rFonts w:asciiTheme="majorEastAsia" w:eastAsiaTheme="majorEastAsia" w:hAnsiTheme="majorEastAsia"/>
          <w:sz w:val="24"/>
        </w:rPr>
      </w:pPr>
    </w:p>
    <w:p w14:paraId="4CBD5C6C" w14:textId="77777777" w:rsidR="00086DAA" w:rsidRDefault="00086DAA">
      <w:pPr>
        <w:ind w:left="268" w:hangingChars="118" w:hanging="268"/>
        <w:jc w:val="left"/>
        <w:rPr>
          <w:rFonts w:asciiTheme="majorEastAsia" w:eastAsiaTheme="majorEastAsia" w:hAnsiTheme="majorEastAsia"/>
          <w:sz w:val="24"/>
        </w:rPr>
      </w:pPr>
    </w:p>
    <w:p w14:paraId="178F8676" w14:textId="77777777" w:rsidR="00086DAA" w:rsidRDefault="00086DAA">
      <w:pPr>
        <w:ind w:left="268" w:hangingChars="118" w:hanging="268"/>
        <w:jc w:val="left"/>
        <w:rPr>
          <w:rFonts w:asciiTheme="majorEastAsia" w:eastAsiaTheme="majorEastAsia" w:hAnsiTheme="majorEastAsia"/>
          <w:sz w:val="24"/>
        </w:rPr>
      </w:pPr>
    </w:p>
    <w:p w14:paraId="78260D91"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sz w:val="22"/>
        </w:rPr>
        <w:t>〇</w:t>
      </w:r>
      <w:r>
        <w:rPr>
          <w:rFonts w:asciiTheme="majorEastAsia" w:eastAsiaTheme="majorEastAsia" w:hAnsiTheme="majorEastAsia" w:hint="eastAsia"/>
          <w:sz w:val="22"/>
        </w:rPr>
        <w:t>高齢者のいる世帯は</w:t>
      </w:r>
      <w:r>
        <w:rPr>
          <w:rFonts w:asciiTheme="majorEastAsia" w:eastAsiaTheme="majorEastAsia" w:hAnsiTheme="majorEastAsia" w:hint="eastAsia"/>
          <w:sz w:val="22"/>
        </w:rPr>
        <w:t>217,900</w:t>
      </w:r>
      <w:r>
        <w:rPr>
          <w:rFonts w:asciiTheme="majorEastAsia" w:eastAsiaTheme="majorEastAsia" w:hAnsiTheme="majorEastAsia" w:hint="eastAsia"/>
          <w:sz w:val="22"/>
        </w:rPr>
        <w:t>世帯で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5,200</w:t>
      </w:r>
      <w:r>
        <w:rPr>
          <w:rFonts w:asciiTheme="majorEastAsia" w:eastAsiaTheme="majorEastAsia" w:hAnsiTheme="majorEastAsia" w:hint="eastAsia"/>
          <w:sz w:val="22"/>
        </w:rPr>
        <w:t>世帯</w:t>
      </w:r>
      <w:r>
        <w:rPr>
          <w:rFonts w:asciiTheme="majorEastAsia" w:eastAsiaTheme="majorEastAsia" w:hAnsiTheme="majorEastAsia" w:hint="eastAsia"/>
          <w:sz w:val="22"/>
        </w:rPr>
        <w:t>(2.4</w:t>
      </w:r>
      <w:r>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hint="eastAsia"/>
          <w:sz w:val="22"/>
        </w:rPr>
        <w:t>増加、主世帯全体に占める割合は</w:t>
      </w:r>
      <w:r>
        <w:rPr>
          <w:rFonts w:asciiTheme="majorEastAsia" w:eastAsiaTheme="majorEastAsia" w:hAnsiTheme="majorEastAsia" w:hint="eastAsia"/>
          <w:sz w:val="22"/>
        </w:rPr>
        <w:t>56.8</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2.1</w:t>
      </w:r>
      <w:r>
        <w:rPr>
          <w:rFonts w:asciiTheme="majorEastAsia" w:eastAsiaTheme="majorEastAsia" w:hAnsiTheme="majorEastAsia" w:hint="eastAsia"/>
          <w:sz w:val="22"/>
        </w:rPr>
        <w:t>ポイント増加</w:t>
      </w:r>
    </w:p>
    <w:p w14:paraId="66E3766C"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w:t>
      </w:r>
      <w:r>
        <w:rPr>
          <w:rFonts w:asciiTheme="majorEastAsia" w:eastAsiaTheme="majorEastAsia" w:hAnsiTheme="majorEastAsia" w:hint="eastAsia"/>
          <w:sz w:val="22"/>
        </w:rPr>
        <w:t>75</w:t>
      </w:r>
      <w:r>
        <w:rPr>
          <w:rFonts w:asciiTheme="majorEastAsia" w:eastAsiaTheme="majorEastAsia" w:hAnsiTheme="majorEastAsia" w:hint="eastAsia"/>
          <w:sz w:val="22"/>
        </w:rPr>
        <w:t>歳以上世帯員のいる世帯は</w:t>
      </w:r>
      <w:r>
        <w:rPr>
          <w:rFonts w:asciiTheme="majorEastAsia" w:eastAsiaTheme="majorEastAsia" w:hAnsiTheme="majorEastAsia" w:hint="eastAsia"/>
          <w:sz w:val="22"/>
        </w:rPr>
        <w:t>130,100</w:t>
      </w:r>
      <w:r>
        <w:rPr>
          <w:rFonts w:asciiTheme="majorEastAsia" w:eastAsiaTheme="majorEastAsia" w:hAnsiTheme="majorEastAsia" w:hint="eastAsia"/>
          <w:sz w:val="22"/>
        </w:rPr>
        <w:t>世帯で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900</w:t>
      </w:r>
      <w:r>
        <w:rPr>
          <w:rFonts w:asciiTheme="majorEastAsia" w:eastAsiaTheme="majorEastAsia" w:hAnsiTheme="majorEastAsia" w:hint="eastAsia"/>
          <w:sz w:val="22"/>
        </w:rPr>
        <w:t>世帯</w:t>
      </w:r>
      <w:r>
        <w:rPr>
          <w:rFonts w:asciiTheme="majorEastAsia" w:eastAsiaTheme="majorEastAsia" w:hAnsiTheme="majorEastAsia" w:hint="eastAsia"/>
          <w:sz w:val="22"/>
        </w:rPr>
        <w:t>(0.7</w:t>
      </w:r>
      <w:r>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hint="eastAsia"/>
          <w:sz w:val="22"/>
        </w:rPr>
        <w:t>減少、主世帯全体に占める割合は</w:t>
      </w:r>
      <w:r>
        <w:rPr>
          <w:rFonts w:asciiTheme="majorEastAsia" w:eastAsiaTheme="majorEastAsia" w:hAnsiTheme="majorEastAsia" w:hint="eastAsia"/>
          <w:sz w:val="22"/>
        </w:rPr>
        <w:t>33.9</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w:t>
      </w:r>
      <w:r>
        <w:rPr>
          <w:rFonts w:asciiTheme="majorEastAsia" w:eastAsiaTheme="majorEastAsia" w:hAnsiTheme="majorEastAsia" w:hint="eastAsia"/>
          <w:sz w:val="22"/>
        </w:rPr>
        <w:t>に比べ</w:t>
      </w:r>
      <w:r>
        <w:rPr>
          <w:rFonts w:asciiTheme="majorEastAsia" w:eastAsiaTheme="majorEastAsia" w:hAnsiTheme="majorEastAsia" w:hint="eastAsia"/>
          <w:sz w:val="22"/>
        </w:rPr>
        <w:t>0.2</w:t>
      </w:r>
      <w:r>
        <w:rPr>
          <w:rFonts w:asciiTheme="majorEastAsia" w:eastAsiaTheme="majorEastAsia" w:hAnsiTheme="majorEastAsia" w:hint="eastAsia"/>
          <w:sz w:val="22"/>
        </w:rPr>
        <w:t>ポイント増加</w:t>
      </w:r>
    </w:p>
    <w:p w14:paraId="3F430C17"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〇高齢者のいる世帯のうち、高齢単身世帯の割合は</w:t>
      </w:r>
      <w:r>
        <w:rPr>
          <w:rFonts w:asciiTheme="majorEastAsia" w:eastAsiaTheme="majorEastAsia" w:hAnsiTheme="majorEastAsia" w:hint="eastAsia"/>
          <w:sz w:val="22"/>
        </w:rPr>
        <w:t>24.6</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3.6</w:t>
      </w:r>
      <w:r>
        <w:rPr>
          <w:rFonts w:asciiTheme="majorEastAsia" w:eastAsiaTheme="majorEastAsia" w:hAnsiTheme="majorEastAsia" w:hint="eastAsia"/>
          <w:sz w:val="22"/>
        </w:rPr>
        <w:t>ポイント増加</w:t>
      </w:r>
    </w:p>
    <w:p w14:paraId="0A3395B1" w14:textId="77777777" w:rsidR="00086DAA" w:rsidRDefault="005541F6">
      <w:pPr>
        <w:ind w:left="221" w:hangingChars="118" w:hanging="221"/>
        <w:jc w:val="left"/>
        <w:rPr>
          <w:rFonts w:asciiTheme="majorEastAsia" w:eastAsiaTheme="majorEastAsia" w:hAnsiTheme="majorEastAsia"/>
          <w:sz w:val="24"/>
        </w:rPr>
      </w:pPr>
      <w:r>
        <w:rPr>
          <w:noProof/>
          <w:sz w:val="20"/>
        </w:rPr>
        <w:drawing>
          <wp:anchor distT="0" distB="0" distL="114300" distR="114300" simplePos="0" relativeHeight="10" behindDoc="0" locked="0" layoutInCell="1" hidden="0" allowOverlap="1" wp14:anchorId="1D44F73C" wp14:editId="1F471A65">
            <wp:simplePos x="0" y="0"/>
            <wp:positionH relativeFrom="column">
              <wp:posOffset>3108325</wp:posOffset>
            </wp:positionH>
            <wp:positionV relativeFrom="paragraph">
              <wp:posOffset>97790</wp:posOffset>
            </wp:positionV>
            <wp:extent cx="2695575" cy="1724025"/>
            <wp:effectExtent l="0" t="0" r="9525" b="9525"/>
            <wp:wrapSquare wrapText="bothSides"/>
            <wp:docPr id="104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noProof/>
          <w:sz w:val="20"/>
        </w:rPr>
        <w:drawing>
          <wp:anchor distT="0" distB="0" distL="114300" distR="114300" simplePos="0" relativeHeight="11" behindDoc="0" locked="0" layoutInCell="1" hidden="0" allowOverlap="1" wp14:anchorId="58AB6C01" wp14:editId="08DCAC97">
            <wp:simplePos x="0" y="0"/>
            <wp:positionH relativeFrom="column">
              <wp:posOffset>247650</wp:posOffset>
            </wp:positionH>
            <wp:positionV relativeFrom="paragraph">
              <wp:posOffset>97790</wp:posOffset>
            </wp:positionV>
            <wp:extent cx="2714625" cy="1724025"/>
            <wp:effectExtent l="0" t="0" r="9525" b="9525"/>
            <wp:wrapSquare wrapText="bothSides"/>
            <wp:docPr id="104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780257C7" w14:textId="77777777" w:rsidR="00086DAA" w:rsidRDefault="00086DAA">
      <w:pPr>
        <w:ind w:left="268" w:hangingChars="118" w:hanging="268"/>
        <w:jc w:val="left"/>
        <w:rPr>
          <w:rFonts w:asciiTheme="majorEastAsia" w:eastAsiaTheme="majorEastAsia" w:hAnsiTheme="majorEastAsia"/>
          <w:sz w:val="24"/>
        </w:rPr>
      </w:pPr>
    </w:p>
    <w:p w14:paraId="0CEE5B24" w14:textId="77777777" w:rsidR="00086DAA" w:rsidRDefault="00086DAA">
      <w:pPr>
        <w:ind w:left="268" w:hangingChars="118" w:hanging="268"/>
        <w:jc w:val="left"/>
        <w:rPr>
          <w:rFonts w:asciiTheme="majorEastAsia" w:eastAsiaTheme="majorEastAsia" w:hAnsiTheme="majorEastAsia"/>
          <w:sz w:val="24"/>
        </w:rPr>
      </w:pPr>
    </w:p>
    <w:p w14:paraId="2F2B32A5" w14:textId="77777777" w:rsidR="00086DAA" w:rsidRDefault="00086DAA">
      <w:pPr>
        <w:ind w:left="268" w:hangingChars="118" w:hanging="268"/>
        <w:jc w:val="left"/>
        <w:rPr>
          <w:rFonts w:asciiTheme="majorEastAsia" w:eastAsiaTheme="majorEastAsia" w:hAnsiTheme="majorEastAsia"/>
          <w:sz w:val="24"/>
        </w:rPr>
      </w:pPr>
    </w:p>
    <w:p w14:paraId="2742B11F" w14:textId="77777777" w:rsidR="00086DAA" w:rsidRDefault="00086DAA">
      <w:pPr>
        <w:ind w:left="268" w:hangingChars="118" w:hanging="268"/>
        <w:jc w:val="left"/>
        <w:rPr>
          <w:rFonts w:asciiTheme="majorEastAsia" w:eastAsiaTheme="majorEastAsia" w:hAnsiTheme="majorEastAsia"/>
          <w:sz w:val="24"/>
        </w:rPr>
      </w:pPr>
    </w:p>
    <w:p w14:paraId="4491A92F" w14:textId="77777777" w:rsidR="00086DAA" w:rsidRDefault="00086DAA">
      <w:pPr>
        <w:ind w:left="268" w:hangingChars="118" w:hanging="268"/>
        <w:jc w:val="left"/>
        <w:rPr>
          <w:rFonts w:asciiTheme="majorEastAsia" w:eastAsiaTheme="majorEastAsia" w:hAnsiTheme="majorEastAsia"/>
          <w:sz w:val="24"/>
        </w:rPr>
      </w:pPr>
    </w:p>
    <w:p w14:paraId="23144F63" w14:textId="77777777" w:rsidR="00086DAA" w:rsidRDefault="00086DAA">
      <w:pPr>
        <w:ind w:left="268" w:hangingChars="118" w:hanging="268"/>
        <w:jc w:val="left"/>
        <w:rPr>
          <w:rFonts w:asciiTheme="majorEastAsia" w:eastAsiaTheme="majorEastAsia" w:hAnsiTheme="majorEastAsia"/>
          <w:sz w:val="24"/>
        </w:rPr>
      </w:pPr>
    </w:p>
    <w:p w14:paraId="5D363E3D" w14:textId="77777777" w:rsidR="00086DAA" w:rsidRDefault="00086DAA">
      <w:pPr>
        <w:ind w:left="268" w:hangingChars="118" w:hanging="268"/>
        <w:jc w:val="left"/>
        <w:rPr>
          <w:rFonts w:asciiTheme="majorEastAsia" w:eastAsiaTheme="majorEastAsia" w:hAnsiTheme="majorEastAsia"/>
          <w:sz w:val="24"/>
        </w:rPr>
      </w:pPr>
    </w:p>
    <w:p w14:paraId="04FE899F" w14:textId="77777777" w:rsidR="00086DAA" w:rsidRDefault="00086DAA">
      <w:pPr>
        <w:ind w:left="268" w:hangingChars="118" w:hanging="268"/>
        <w:jc w:val="left"/>
        <w:rPr>
          <w:rFonts w:asciiTheme="majorEastAsia" w:eastAsiaTheme="majorEastAsia" w:hAnsiTheme="majorEastAsia"/>
          <w:sz w:val="24"/>
        </w:rPr>
      </w:pPr>
    </w:p>
    <w:p w14:paraId="33F25BF9" w14:textId="77777777" w:rsidR="00086DAA" w:rsidRDefault="005541F6">
      <w:pPr>
        <w:ind w:left="233" w:hangingChars="118" w:hanging="233"/>
        <w:jc w:val="left"/>
        <w:rPr>
          <w:rFonts w:asciiTheme="majorEastAsia" w:eastAsiaTheme="majorEastAsia" w:hAnsiTheme="majorEastAsia"/>
          <w:sz w:val="24"/>
        </w:rPr>
      </w:pPr>
      <w:r>
        <w:rPr>
          <w:noProof/>
        </w:rPr>
        <w:drawing>
          <wp:anchor distT="0" distB="0" distL="114300" distR="114300" simplePos="0" relativeHeight="9" behindDoc="0" locked="0" layoutInCell="1" hidden="0" allowOverlap="1" wp14:anchorId="2265B76C" wp14:editId="6A021A69">
            <wp:simplePos x="0" y="0"/>
            <wp:positionH relativeFrom="column">
              <wp:posOffset>327660</wp:posOffset>
            </wp:positionH>
            <wp:positionV relativeFrom="paragraph">
              <wp:posOffset>1270</wp:posOffset>
            </wp:positionV>
            <wp:extent cx="5396230" cy="818515"/>
            <wp:effectExtent l="0" t="0" r="13970" b="635"/>
            <wp:wrapSquare wrapText="bothSides"/>
            <wp:docPr id="104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73BF36AC" w14:textId="77777777" w:rsidR="00086DAA" w:rsidRDefault="00086DAA">
      <w:pPr>
        <w:ind w:left="268" w:hangingChars="118" w:hanging="268"/>
        <w:jc w:val="left"/>
        <w:rPr>
          <w:rFonts w:asciiTheme="majorEastAsia" w:eastAsiaTheme="majorEastAsia" w:hAnsiTheme="majorEastAsia"/>
          <w:sz w:val="24"/>
        </w:rPr>
      </w:pPr>
    </w:p>
    <w:p w14:paraId="09A14ED0" w14:textId="77777777" w:rsidR="00086DAA" w:rsidRDefault="00086DAA">
      <w:pPr>
        <w:ind w:left="268" w:hangingChars="118" w:hanging="268"/>
        <w:jc w:val="left"/>
        <w:rPr>
          <w:rFonts w:asciiTheme="majorEastAsia" w:eastAsiaTheme="majorEastAsia" w:hAnsiTheme="majorEastAsia"/>
          <w:sz w:val="24"/>
        </w:rPr>
      </w:pPr>
    </w:p>
    <w:p w14:paraId="0C592B73" w14:textId="77777777" w:rsidR="00086DAA" w:rsidRDefault="00086DAA">
      <w:pPr>
        <w:ind w:left="268" w:hangingChars="118" w:hanging="268"/>
        <w:jc w:val="left"/>
        <w:rPr>
          <w:rFonts w:asciiTheme="majorEastAsia" w:eastAsiaTheme="majorEastAsia" w:hAnsiTheme="majorEastAsia"/>
          <w:sz w:val="24"/>
        </w:rPr>
      </w:pPr>
    </w:p>
    <w:p w14:paraId="53E4A2DC" w14:textId="77777777" w:rsidR="00086DAA" w:rsidRDefault="005541F6">
      <w:pPr>
        <w:widowControl/>
        <w:jc w:val="left"/>
        <w:rPr>
          <w:rFonts w:asciiTheme="majorEastAsia" w:eastAsiaTheme="majorEastAsia" w:hAnsiTheme="majorEastAsia"/>
          <w:sz w:val="24"/>
        </w:rPr>
      </w:pPr>
      <w:r>
        <w:rPr>
          <w:rFonts w:asciiTheme="majorEastAsia" w:eastAsiaTheme="majorEastAsia" w:hAnsiTheme="majorEastAsia"/>
          <w:sz w:val="24"/>
        </w:rPr>
        <w:br w:type="page"/>
      </w:r>
    </w:p>
    <w:p w14:paraId="0548A1B9" w14:textId="77777777" w:rsidR="00086DAA" w:rsidRDefault="005541F6">
      <w:pPr>
        <w:ind w:left="246" w:hangingChars="118" w:hanging="246"/>
        <w:jc w:val="left"/>
        <w:rPr>
          <w:rFonts w:asciiTheme="majorEastAsia" w:eastAsiaTheme="majorEastAsia" w:hAnsiTheme="majorEastAsia"/>
          <w:sz w:val="24"/>
        </w:rPr>
      </w:pPr>
      <w:r>
        <w:rPr>
          <w:rFonts w:asciiTheme="majorEastAsia" w:eastAsiaTheme="majorEastAsia" w:hAnsiTheme="majorEastAsia"/>
          <w:b/>
          <w:noProof/>
          <w:sz w:val="22"/>
        </w:rPr>
        <w:lastRenderedPageBreak/>
        <mc:AlternateContent>
          <mc:Choice Requires="wps">
            <w:drawing>
              <wp:anchor distT="0" distB="0" distL="114300" distR="114300" simplePos="0" relativeHeight="7" behindDoc="0" locked="0" layoutInCell="1" hidden="0" allowOverlap="1" wp14:anchorId="622115AA" wp14:editId="2A49115F">
                <wp:simplePos x="0" y="0"/>
                <wp:positionH relativeFrom="column">
                  <wp:posOffset>-3175</wp:posOffset>
                </wp:positionH>
                <wp:positionV relativeFrom="paragraph">
                  <wp:posOffset>24765</wp:posOffset>
                </wp:positionV>
                <wp:extent cx="6048375" cy="532765"/>
                <wp:effectExtent l="16510" t="15875" r="50165" b="41910"/>
                <wp:wrapNone/>
                <wp:docPr id="1043" name="角丸四角形 17"/>
                <wp:cNvGraphicFramePr/>
                <a:graphic xmlns:a="http://schemas.openxmlformats.org/drawingml/2006/main">
                  <a:graphicData uri="http://schemas.microsoft.com/office/word/2010/wordprocessingShape">
                    <wps:wsp>
                      <wps:cNvSpPr/>
                      <wps:spPr>
                        <a:xfrm>
                          <a:off x="0" y="0"/>
                          <a:ext cx="6048375" cy="532765"/>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5084F351"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◆子の居住地が</w:t>
                            </w:r>
                            <w:r>
                              <w:rPr>
                                <w:rFonts w:ascii="HG丸ｺﾞｼｯｸM-PRO" w:eastAsia="HG丸ｺﾞｼｯｸM-PRO" w:hAnsi="HG丸ｺﾞｼｯｸM-PRO" w:hint="eastAsia"/>
                                <w:b/>
                                <w:sz w:val="24"/>
                              </w:rPr>
                              <w:t>1</w:t>
                            </w:r>
                            <w:r>
                              <w:rPr>
                                <w:rFonts w:ascii="HG丸ｺﾞｼｯｸM-PRO" w:eastAsia="HG丸ｺﾞｼｯｸM-PRO" w:hAnsi="HG丸ｺﾞｼｯｸM-PRO" w:hint="eastAsia"/>
                                <w:b/>
                                <w:sz w:val="24"/>
                              </w:rPr>
                              <w:t>時間以上の場所にある高齢者のいる夫婦のみの世帯は</w:t>
                            </w:r>
                            <w:r>
                              <w:rPr>
                                <w:rFonts w:ascii="HG丸ｺﾞｼｯｸM-PRO" w:eastAsia="HG丸ｺﾞｼｯｸM-PRO" w:hAnsi="HG丸ｺﾞｼｯｸM-PRO" w:hint="eastAsia"/>
                                <w:b/>
                                <w:sz w:val="24"/>
                              </w:rPr>
                              <w:t>38.2</w:t>
                            </w:r>
                            <w:r>
                              <w:rPr>
                                <w:rFonts w:ascii="HG丸ｺﾞｼｯｸM-PRO" w:eastAsia="HG丸ｺﾞｼｯｸM-PRO" w:hAnsi="HG丸ｺﾞｼｯｸM-PRO" w:hint="eastAsia"/>
                                <w:b/>
                                <w:sz w:val="24"/>
                              </w:rPr>
                              <w:t>％</w:t>
                            </w:r>
                          </w:p>
                          <w:p w14:paraId="177748B0"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◆子の居住地が１時間以上の場所にある高齢単身世帯は</w:t>
                            </w:r>
                            <w:r>
                              <w:rPr>
                                <w:rFonts w:ascii="HG丸ｺﾞｼｯｸM-PRO" w:eastAsia="HG丸ｺﾞｼｯｸM-PRO" w:hAnsi="HG丸ｺﾞｼｯｸM-PRO" w:hint="eastAsia"/>
                                <w:b/>
                                <w:sz w:val="24"/>
                              </w:rPr>
                              <w:t>32.3</w:t>
                            </w:r>
                            <w:r>
                              <w:rPr>
                                <w:rFonts w:ascii="HG丸ｺﾞｼｯｸM-PRO" w:eastAsia="HG丸ｺﾞｼｯｸM-PRO" w:hAnsi="HG丸ｺﾞｼｯｸM-PRO" w:hint="eastAsia"/>
                                <w:b/>
                                <w:sz w:val="24"/>
                              </w:rPr>
                              <w:t>％</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17" style="mso-wrap-distance-right:9pt;mso-wrap-distance-bottom:0pt;margin-top:1.95pt;mso-position-vertical-relative:text;mso-position-horizontal-relative:text;v-text-anchor:top;position:absolute;height:41.95pt;mso-wrap-distance-top:0pt;width:476.25pt;mso-wrap-distance-left:9pt;margin-left:-0.25pt;z-index:7;" o:spid="_x0000_s1043" o:allowincell="t" o:allowoverlap="t" filled="t" fillcolor="#ffffff" stroked="t" strokecolor="#0000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◆子の居住地が</w:t>
                      </w:r>
                      <w:r>
                        <w:rPr>
                          <w:rFonts w:hint="eastAsia" w:ascii="HG丸ｺﾞｼｯｸM-PRO" w:hAnsi="HG丸ｺﾞｼｯｸM-PRO" w:eastAsia="HG丸ｺﾞｼｯｸM-PRO"/>
                          <w:b w:val="1"/>
                          <w:sz w:val="24"/>
                        </w:rPr>
                        <w:t>1</w:t>
                      </w:r>
                      <w:r>
                        <w:rPr>
                          <w:rFonts w:hint="eastAsia" w:ascii="HG丸ｺﾞｼｯｸM-PRO" w:hAnsi="HG丸ｺﾞｼｯｸM-PRO" w:eastAsia="HG丸ｺﾞｼｯｸM-PRO"/>
                          <w:b w:val="1"/>
                          <w:sz w:val="24"/>
                        </w:rPr>
                        <w:t>時間以上の場所にある高齢者のいる夫婦のみの世帯は</w:t>
                      </w:r>
                      <w:r>
                        <w:rPr>
                          <w:rFonts w:hint="eastAsia" w:ascii="HG丸ｺﾞｼｯｸM-PRO" w:hAnsi="HG丸ｺﾞｼｯｸM-PRO" w:eastAsia="HG丸ｺﾞｼｯｸM-PRO"/>
                          <w:b w:val="1"/>
                          <w:sz w:val="24"/>
                        </w:rPr>
                        <w:t>38.2</w:t>
                      </w:r>
                      <w:r>
                        <w:rPr>
                          <w:rFonts w:hint="eastAsia" w:ascii="HG丸ｺﾞｼｯｸM-PRO" w:hAnsi="HG丸ｺﾞｼｯｸM-PRO" w:eastAsia="HG丸ｺﾞｼｯｸM-PRO"/>
                          <w:b w:val="1"/>
                          <w:sz w:val="24"/>
                        </w:rPr>
                        <w:t>％</w:t>
                      </w:r>
                    </w:p>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◆子の居住地が１時間以上の場所にある高齢単身世帯は</w:t>
                      </w:r>
                      <w:r>
                        <w:rPr>
                          <w:rFonts w:hint="eastAsia" w:ascii="HG丸ｺﾞｼｯｸM-PRO" w:hAnsi="HG丸ｺﾞｼｯｸM-PRO" w:eastAsia="HG丸ｺﾞｼｯｸM-PRO"/>
                          <w:b w:val="1"/>
                          <w:sz w:val="24"/>
                        </w:rPr>
                        <w:t>32.3</w:t>
                      </w:r>
                      <w:r>
                        <w:rPr>
                          <w:rFonts w:hint="eastAsia" w:ascii="HG丸ｺﾞｼｯｸM-PRO" w:hAnsi="HG丸ｺﾞｼｯｸM-PRO" w:eastAsia="HG丸ｺﾞｼｯｸM-PRO"/>
                          <w:b w:val="1"/>
                          <w:sz w:val="24"/>
                        </w:rPr>
                        <w:t>％</w:t>
                      </w:r>
                    </w:p>
                  </w:txbxContent>
                </v:textbox>
                <v:imagedata o:title=""/>
                <w10:wrap type="none" anchorx="text" anchory="text"/>
              </v:roundrect>
            </w:pict>
          </mc:Fallback>
        </mc:AlternateContent>
      </w:r>
    </w:p>
    <w:p w14:paraId="4E70FAD7" w14:textId="77777777" w:rsidR="00086DAA" w:rsidRDefault="00086DAA">
      <w:pPr>
        <w:ind w:left="268" w:hangingChars="118" w:hanging="268"/>
        <w:rPr>
          <w:rFonts w:asciiTheme="majorEastAsia" w:eastAsiaTheme="majorEastAsia" w:hAnsiTheme="majorEastAsia"/>
          <w:sz w:val="24"/>
        </w:rPr>
      </w:pPr>
    </w:p>
    <w:p w14:paraId="5F53F2A1" w14:textId="77777777" w:rsidR="00086DAA" w:rsidRDefault="00086DAA">
      <w:pPr>
        <w:ind w:left="268" w:hangingChars="118" w:hanging="268"/>
        <w:jc w:val="left"/>
        <w:rPr>
          <w:rFonts w:asciiTheme="majorEastAsia" w:eastAsiaTheme="majorEastAsia" w:hAnsiTheme="majorEastAsia"/>
          <w:sz w:val="24"/>
        </w:rPr>
      </w:pPr>
    </w:p>
    <w:p w14:paraId="328FF33D"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〇高齢者のいる夫婦のみの世帯のうち、子の居住地が</w:t>
      </w:r>
      <w:r>
        <w:rPr>
          <w:rFonts w:asciiTheme="majorEastAsia" w:eastAsiaTheme="majorEastAsia" w:hAnsiTheme="majorEastAsia" w:hint="eastAsia"/>
          <w:sz w:val="22"/>
        </w:rPr>
        <w:t>1</w:t>
      </w:r>
      <w:r>
        <w:rPr>
          <w:rFonts w:asciiTheme="majorEastAsia" w:eastAsiaTheme="majorEastAsia" w:hAnsiTheme="majorEastAsia" w:hint="eastAsia"/>
          <w:sz w:val="22"/>
        </w:rPr>
        <w:t>時間以上の場所にある世帯の割合は</w:t>
      </w:r>
      <w:r>
        <w:rPr>
          <w:rFonts w:asciiTheme="majorEastAsia" w:eastAsiaTheme="majorEastAsia" w:hAnsiTheme="majorEastAsia" w:hint="eastAsia"/>
          <w:sz w:val="22"/>
        </w:rPr>
        <w:t>38.2</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1.2</w:t>
      </w:r>
      <w:r>
        <w:rPr>
          <w:rFonts w:asciiTheme="majorEastAsia" w:eastAsiaTheme="majorEastAsia" w:hAnsiTheme="majorEastAsia" w:hint="eastAsia"/>
          <w:sz w:val="22"/>
        </w:rPr>
        <w:t>ポイント減少</w:t>
      </w:r>
    </w:p>
    <w:p w14:paraId="57734273"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〇高齢単身世帯のうち、子の居住地が</w:t>
      </w:r>
      <w:r>
        <w:rPr>
          <w:rFonts w:asciiTheme="majorEastAsia" w:eastAsiaTheme="majorEastAsia" w:hAnsiTheme="majorEastAsia" w:hint="eastAsia"/>
          <w:sz w:val="22"/>
        </w:rPr>
        <w:t>1</w:t>
      </w:r>
      <w:r>
        <w:rPr>
          <w:rFonts w:asciiTheme="majorEastAsia" w:eastAsiaTheme="majorEastAsia" w:hAnsiTheme="majorEastAsia" w:hint="eastAsia"/>
          <w:sz w:val="22"/>
        </w:rPr>
        <w:t>時間以上の場所にある世帯の割合は</w:t>
      </w:r>
      <w:r>
        <w:rPr>
          <w:rFonts w:asciiTheme="majorEastAsia" w:eastAsiaTheme="majorEastAsia" w:hAnsiTheme="majorEastAsia" w:hint="eastAsia"/>
          <w:sz w:val="22"/>
        </w:rPr>
        <w:t>32.3</w:t>
      </w:r>
      <w:r>
        <w:rPr>
          <w:rFonts w:asciiTheme="majorEastAsia" w:eastAsiaTheme="majorEastAsia" w:hAnsiTheme="majorEastAsia" w:hint="eastAsia"/>
          <w:sz w:val="22"/>
        </w:rPr>
        <w:t>％で、</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2.5</w:t>
      </w:r>
      <w:r>
        <w:rPr>
          <w:rFonts w:asciiTheme="majorEastAsia" w:eastAsiaTheme="majorEastAsia" w:hAnsiTheme="majorEastAsia" w:hint="eastAsia"/>
          <w:sz w:val="22"/>
        </w:rPr>
        <w:t>ポイント減少</w:t>
      </w:r>
    </w:p>
    <w:p w14:paraId="7BC92711" w14:textId="77777777" w:rsidR="00086DAA" w:rsidRDefault="005541F6">
      <w:pPr>
        <w:ind w:left="233" w:hangingChars="118" w:hanging="233"/>
        <w:jc w:val="left"/>
        <w:rPr>
          <w:rFonts w:asciiTheme="majorEastAsia" w:eastAsiaTheme="majorEastAsia" w:hAnsiTheme="majorEastAsia"/>
          <w:sz w:val="24"/>
        </w:rPr>
      </w:pPr>
      <w:r>
        <w:rPr>
          <w:noProof/>
        </w:rPr>
        <w:drawing>
          <wp:anchor distT="0" distB="0" distL="114300" distR="114300" simplePos="0" relativeHeight="38" behindDoc="0" locked="0" layoutInCell="1" hidden="0" allowOverlap="1" wp14:anchorId="502C3198" wp14:editId="6DBC1D1C">
            <wp:simplePos x="0" y="0"/>
            <wp:positionH relativeFrom="column">
              <wp:posOffset>380365</wp:posOffset>
            </wp:positionH>
            <wp:positionV relativeFrom="paragraph">
              <wp:posOffset>28575</wp:posOffset>
            </wp:positionV>
            <wp:extent cx="5105400" cy="1866900"/>
            <wp:effectExtent l="0" t="0" r="0" b="0"/>
            <wp:wrapSquare wrapText="bothSides"/>
            <wp:docPr id="104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6EECA997" w14:textId="77777777" w:rsidR="00086DAA" w:rsidRDefault="00086DAA">
      <w:pPr>
        <w:ind w:left="268" w:hangingChars="118" w:hanging="268"/>
        <w:jc w:val="left"/>
        <w:rPr>
          <w:rFonts w:asciiTheme="majorEastAsia" w:eastAsiaTheme="majorEastAsia" w:hAnsiTheme="majorEastAsia"/>
          <w:sz w:val="24"/>
        </w:rPr>
      </w:pPr>
    </w:p>
    <w:p w14:paraId="0832EDC9" w14:textId="77777777" w:rsidR="00086DAA" w:rsidRDefault="00086DAA">
      <w:pPr>
        <w:ind w:left="268" w:hangingChars="118" w:hanging="268"/>
        <w:jc w:val="left"/>
        <w:rPr>
          <w:rFonts w:asciiTheme="majorEastAsia" w:eastAsiaTheme="majorEastAsia" w:hAnsiTheme="majorEastAsia"/>
          <w:sz w:val="24"/>
        </w:rPr>
      </w:pPr>
    </w:p>
    <w:p w14:paraId="24D8E919" w14:textId="77777777" w:rsidR="00086DAA" w:rsidRDefault="00086DAA">
      <w:pPr>
        <w:ind w:left="268" w:hangingChars="118" w:hanging="268"/>
        <w:jc w:val="left"/>
        <w:rPr>
          <w:rFonts w:asciiTheme="majorEastAsia" w:eastAsiaTheme="majorEastAsia" w:hAnsiTheme="majorEastAsia"/>
          <w:sz w:val="24"/>
        </w:rPr>
      </w:pPr>
    </w:p>
    <w:p w14:paraId="30733CF3" w14:textId="77777777" w:rsidR="00086DAA" w:rsidRDefault="00086DAA">
      <w:pPr>
        <w:ind w:left="268" w:hangingChars="118" w:hanging="268"/>
        <w:jc w:val="left"/>
        <w:rPr>
          <w:rFonts w:asciiTheme="majorEastAsia" w:eastAsiaTheme="majorEastAsia" w:hAnsiTheme="majorEastAsia"/>
          <w:sz w:val="24"/>
        </w:rPr>
      </w:pPr>
    </w:p>
    <w:p w14:paraId="4FF5FA16" w14:textId="77777777" w:rsidR="00086DAA" w:rsidRDefault="00086DAA">
      <w:pPr>
        <w:ind w:left="268" w:hangingChars="118" w:hanging="268"/>
        <w:jc w:val="left"/>
        <w:rPr>
          <w:rFonts w:asciiTheme="majorEastAsia" w:eastAsiaTheme="majorEastAsia" w:hAnsiTheme="majorEastAsia"/>
          <w:sz w:val="24"/>
        </w:rPr>
      </w:pPr>
    </w:p>
    <w:p w14:paraId="2A880698" w14:textId="77777777" w:rsidR="00086DAA" w:rsidRDefault="00086DAA">
      <w:pPr>
        <w:ind w:left="268" w:hangingChars="118" w:hanging="268"/>
        <w:jc w:val="left"/>
        <w:rPr>
          <w:rFonts w:asciiTheme="majorEastAsia" w:eastAsiaTheme="majorEastAsia" w:hAnsiTheme="majorEastAsia"/>
          <w:sz w:val="24"/>
        </w:rPr>
      </w:pPr>
    </w:p>
    <w:p w14:paraId="3F71BE93" w14:textId="77777777" w:rsidR="00086DAA" w:rsidRDefault="00086DAA">
      <w:pPr>
        <w:ind w:left="268" w:hangingChars="118" w:hanging="268"/>
        <w:jc w:val="left"/>
        <w:rPr>
          <w:rFonts w:asciiTheme="majorEastAsia" w:eastAsiaTheme="majorEastAsia" w:hAnsiTheme="majorEastAsia"/>
          <w:sz w:val="24"/>
        </w:rPr>
      </w:pPr>
    </w:p>
    <w:p w14:paraId="09A8E094" w14:textId="77777777" w:rsidR="00086DAA" w:rsidRDefault="00086DAA">
      <w:pPr>
        <w:ind w:left="268" w:hangingChars="118" w:hanging="268"/>
        <w:jc w:val="left"/>
        <w:rPr>
          <w:rFonts w:asciiTheme="majorEastAsia" w:eastAsiaTheme="majorEastAsia" w:hAnsiTheme="majorEastAsia"/>
          <w:sz w:val="24"/>
        </w:rPr>
      </w:pPr>
    </w:p>
    <w:p w14:paraId="2EBC32B5" w14:textId="77777777" w:rsidR="00086DAA" w:rsidRDefault="005541F6">
      <w:pPr>
        <w:ind w:left="246" w:hangingChars="118" w:hanging="246"/>
        <w:jc w:val="left"/>
        <w:rPr>
          <w:rFonts w:asciiTheme="majorEastAsia" w:eastAsiaTheme="majorEastAsia" w:hAnsiTheme="majorEastAsia"/>
          <w:sz w:val="24"/>
        </w:rPr>
      </w:pPr>
      <w:r>
        <w:rPr>
          <w:rFonts w:asciiTheme="majorEastAsia" w:eastAsiaTheme="majorEastAsia" w:hAnsiTheme="majorEastAsia"/>
          <w:b/>
          <w:noProof/>
          <w:sz w:val="22"/>
        </w:rPr>
        <mc:AlternateContent>
          <mc:Choice Requires="wps">
            <w:drawing>
              <wp:anchor distT="0" distB="0" distL="114300" distR="114300" simplePos="0" relativeHeight="8" behindDoc="0" locked="0" layoutInCell="1" hidden="0" allowOverlap="1" wp14:anchorId="6144D873" wp14:editId="29309C4E">
                <wp:simplePos x="0" y="0"/>
                <wp:positionH relativeFrom="column">
                  <wp:posOffset>1905</wp:posOffset>
                </wp:positionH>
                <wp:positionV relativeFrom="paragraph">
                  <wp:posOffset>153035</wp:posOffset>
                </wp:positionV>
                <wp:extent cx="6048375" cy="280035"/>
                <wp:effectExtent l="21590" t="19050" r="45085" b="34290"/>
                <wp:wrapNone/>
                <wp:docPr id="1045" name="角丸四角形 19"/>
                <wp:cNvGraphicFramePr/>
                <a:graphic xmlns:a="http://schemas.openxmlformats.org/drawingml/2006/main">
                  <a:graphicData uri="http://schemas.microsoft.com/office/word/2010/wordprocessingShape">
                    <wps:wsp>
                      <wps:cNvSpPr/>
                      <wps:spPr>
                        <a:xfrm>
                          <a:off x="0" y="0"/>
                          <a:ext cx="6048375" cy="280035"/>
                        </a:xfrm>
                        <a:prstGeom prst="roundRect">
                          <a:avLst>
                            <a:gd name="adj" fmla="val 16606"/>
                          </a:avLst>
                        </a:prstGeom>
                        <a:solidFill>
                          <a:sysClr val="window" lastClr="FFFFFF"/>
                        </a:solidFill>
                        <a:ln w="25400" cap="flat" cmpd="sng" algn="ctr">
                          <a:solidFill>
                            <a:sysClr val="windowText" lastClr="000000"/>
                          </a:solidFill>
                          <a:prstDash val="solid"/>
                        </a:ln>
                        <a:effectLst>
                          <a:innerShdw blurRad="63500" dist="50800" dir="5400000">
                            <a:prstClr val="black">
                              <a:alpha val="50000"/>
                            </a:prstClr>
                          </a:innerShdw>
                        </a:effectLst>
                      </wps:spPr>
                      <wps:txbx>
                        <w:txbxContent>
                          <w:p w14:paraId="7CD5C1CF" w14:textId="77777777" w:rsidR="00086DAA" w:rsidRDefault="005541F6">
                            <w:pPr>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◆世帯の住宅所有率は</w:t>
                            </w:r>
                            <w:r>
                              <w:rPr>
                                <w:rFonts w:ascii="HG丸ｺﾞｼｯｸM-PRO" w:eastAsia="HG丸ｺﾞｼｯｸM-PRO" w:hAnsi="HG丸ｺﾞｼｯｸM-PRO" w:hint="eastAsia"/>
                                <w:b/>
                                <w:sz w:val="24"/>
                              </w:rPr>
                              <w:t>70.8</w:t>
                            </w:r>
                            <w:r>
                              <w:rPr>
                                <w:rFonts w:ascii="HG丸ｺﾞｼｯｸM-PRO" w:eastAsia="HG丸ｺﾞｼｯｸM-PRO" w:hAnsi="HG丸ｺﾞｼｯｸM-PRO" w:hint="eastAsia"/>
                                <w:b/>
                                <w:sz w:val="24"/>
                              </w:rPr>
                              <w:t>％、土地の所有率は</w:t>
                            </w:r>
                            <w:r>
                              <w:rPr>
                                <w:rFonts w:ascii="HG丸ｺﾞｼｯｸM-PRO" w:eastAsia="HG丸ｺﾞｼｯｸM-PRO" w:hAnsi="HG丸ｺﾞｼｯｸM-PRO" w:hint="eastAsia"/>
                                <w:b/>
                                <w:sz w:val="24"/>
                              </w:rPr>
                              <w:t>70.3</w:t>
                            </w:r>
                            <w:r>
                              <w:rPr>
                                <w:rFonts w:ascii="HG丸ｺﾞｼｯｸM-PRO" w:eastAsia="HG丸ｺﾞｼｯｸM-PRO" w:hAnsi="HG丸ｺﾞｼｯｸM-PRO" w:hint="eastAsia"/>
                                <w:b/>
                                <w:sz w:val="24"/>
                              </w:rPr>
                              <w:t>％</w:t>
                            </w:r>
                          </w:p>
                        </w:txbxContent>
                      </wps:txbx>
                      <wps:bodyPr rot="0" vertOverflow="overflow" horzOverflow="overflow" wrap="square" lIns="36000" tIns="0" rIns="36000" bIns="36000" numCol="1" spcCol="0" rtlCol="0" fromWordArt="0" anchor="t" anchorCtr="0" forceAA="0" compatLnSpc="1"/>
                    </wps:wsp>
                  </a:graphicData>
                </a:graphic>
              </wp:anchor>
            </w:drawing>
          </mc:Choice>
          <mc:Fallback>
            <w:pict>
              <v:roundrect id="角丸四角形 19" style="mso-wrap-distance-right:9pt;mso-wrap-distance-bottom:0pt;margin-top:12.05pt;mso-position-vertical-relative:text;mso-position-horizontal-relative:text;v-text-anchor:top;position:absolute;height:22.05pt;mso-wrap-distance-top:0pt;width:476.25pt;mso-wrap-distance-left:9pt;margin-left:0.15pt;z-index:8;" o:spid="_x0000_s1045" o:allowincell="t" o:allowoverlap="t" filled="t" fillcolor="#ffffff" stroked="t" strokecolor="#000000" strokeweight="2pt" o:spt="2" arcsize="10883f">
                <v:fill/>
                <v:stroke linestyle="single" endcap="flat" dashstyle="solid" filltype="solid"/>
                <v:textbox style="layout-flow:horizontal;" inset="0.99999999999999978mm,0mm,0.99999999999999978mm,0.99999999999999978mm">
                  <w:txbxContent>
                    <w:p>
                      <w:pPr>
                        <w:pStyle w:val="0"/>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◆世帯の住宅所有率は</w:t>
                      </w:r>
                      <w:r>
                        <w:rPr>
                          <w:rFonts w:hint="eastAsia" w:ascii="HG丸ｺﾞｼｯｸM-PRO" w:hAnsi="HG丸ｺﾞｼｯｸM-PRO" w:eastAsia="HG丸ｺﾞｼｯｸM-PRO"/>
                          <w:b w:val="1"/>
                          <w:sz w:val="24"/>
                        </w:rPr>
                        <w:t>70.8</w:t>
                      </w:r>
                      <w:r>
                        <w:rPr>
                          <w:rFonts w:hint="eastAsia" w:ascii="HG丸ｺﾞｼｯｸM-PRO" w:hAnsi="HG丸ｺﾞｼｯｸM-PRO" w:eastAsia="HG丸ｺﾞｼｯｸM-PRO"/>
                          <w:b w:val="1"/>
                          <w:sz w:val="24"/>
                        </w:rPr>
                        <w:t>％、土地の所有率は</w:t>
                      </w:r>
                      <w:r>
                        <w:rPr>
                          <w:rFonts w:hint="eastAsia" w:ascii="HG丸ｺﾞｼｯｸM-PRO" w:hAnsi="HG丸ｺﾞｼｯｸM-PRO" w:eastAsia="HG丸ｺﾞｼｯｸM-PRO"/>
                          <w:b w:val="1"/>
                          <w:sz w:val="24"/>
                        </w:rPr>
                        <w:t>70.3</w:t>
                      </w:r>
                      <w:r>
                        <w:rPr>
                          <w:rFonts w:hint="eastAsia" w:ascii="HG丸ｺﾞｼｯｸM-PRO" w:hAnsi="HG丸ｺﾞｼｯｸM-PRO" w:eastAsia="HG丸ｺﾞｼｯｸM-PRO"/>
                          <w:b w:val="1"/>
                          <w:sz w:val="24"/>
                        </w:rPr>
                        <w:t>％</w:t>
                      </w:r>
                    </w:p>
                  </w:txbxContent>
                </v:textbox>
                <v:imagedata o:title=""/>
                <w10:wrap type="none" anchorx="text" anchory="text"/>
              </v:roundrect>
            </w:pict>
          </mc:Fallback>
        </mc:AlternateContent>
      </w:r>
    </w:p>
    <w:p w14:paraId="04F2124A" w14:textId="77777777" w:rsidR="00086DAA" w:rsidRDefault="00086DAA">
      <w:pPr>
        <w:ind w:left="268" w:hangingChars="118" w:hanging="268"/>
        <w:jc w:val="left"/>
        <w:rPr>
          <w:rFonts w:asciiTheme="majorEastAsia" w:eastAsiaTheme="majorEastAsia" w:hAnsiTheme="majorEastAsia"/>
          <w:sz w:val="24"/>
        </w:rPr>
      </w:pPr>
    </w:p>
    <w:p w14:paraId="55B44DC4" w14:textId="77777777" w:rsidR="00086DAA" w:rsidRDefault="00086DAA">
      <w:pPr>
        <w:ind w:left="268" w:hangingChars="118" w:hanging="268"/>
        <w:jc w:val="left"/>
        <w:rPr>
          <w:rFonts w:asciiTheme="majorEastAsia" w:eastAsiaTheme="majorEastAsia" w:hAnsiTheme="majorEastAsia"/>
          <w:sz w:val="24"/>
        </w:rPr>
      </w:pPr>
    </w:p>
    <w:p w14:paraId="01182A7B"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sz w:val="22"/>
        </w:rPr>
        <w:t>〇</w:t>
      </w:r>
      <w:r>
        <w:rPr>
          <w:rFonts w:asciiTheme="majorEastAsia" w:eastAsiaTheme="majorEastAsia" w:hAnsiTheme="majorEastAsia" w:hint="eastAsia"/>
          <w:sz w:val="22"/>
        </w:rPr>
        <w:t>世帯の住宅の所有率は</w:t>
      </w:r>
      <w:r>
        <w:rPr>
          <w:rFonts w:asciiTheme="majorEastAsia" w:eastAsiaTheme="majorEastAsia" w:hAnsiTheme="majorEastAsia" w:hint="eastAsia"/>
          <w:sz w:val="22"/>
        </w:rPr>
        <w:t>70.8</w:t>
      </w:r>
      <w:r>
        <w:rPr>
          <w:rFonts w:asciiTheme="majorEastAsia" w:eastAsiaTheme="majorEastAsia" w:hAnsiTheme="majorEastAsia" w:hint="eastAsia"/>
          <w:sz w:val="22"/>
        </w:rPr>
        <w:t>％、</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1.0</w:t>
      </w:r>
      <w:r>
        <w:rPr>
          <w:rFonts w:asciiTheme="majorEastAsia" w:eastAsiaTheme="majorEastAsia" w:hAnsiTheme="majorEastAsia" w:hint="eastAsia"/>
          <w:sz w:val="22"/>
        </w:rPr>
        <w:t>ポイント減少したが全国第</w:t>
      </w:r>
      <w:r>
        <w:rPr>
          <w:rFonts w:asciiTheme="majorEastAsia" w:eastAsiaTheme="majorEastAsia" w:hAnsiTheme="majorEastAsia" w:hint="eastAsia"/>
          <w:sz w:val="22"/>
        </w:rPr>
        <w:t>1</w:t>
      </w:r>
      <w:r>
        <w:rPr>
          <w:rFonts w:asciiTheme="majorEastAsia" w:eastAsiaTheme="majorEastAsia" w:hAnsiTheme="majorEastAsia" w:hint="eastAsia"/>
          <w:sz w:val="22"/>
        </w:rPr>
        <w:t>位</w:t>
      </w:r>
    </w:p>
    <w:p w14:paraId="17224EBC" w14:textId="77777777" w:rsidR="00086DAA" w:rsidRDefault="005541F6">
      <w:pPr>
        <w:ind w:left="245" w:hangingChars="118" w:hanging="245"/>
        <w:jc w:val="left"/>
        <w:rPr>
          <w:rFonts w:asciiTheme="majorEastAsia" w:eastAsiaTheme="majorEastAsia" w:hAnsiTheme="majorEastAsia"/>
          <w:sz w:val="22"/>
        </w:rPr>
      </w:pPr>
      <w:r>
        <w:rPr>
          <w:rFonts w:asciiTheme="majorEastAsia" w:eastAsiaTheme="majorEastAsia" w:hAnsiTheme="majorEastAsia" w:hint="eastAsia"/>
          <w:sz w:val="22"/>
        </w:rPr>
        <w:t>〇世帯の土地の所有率は</w:t>
      </w:r>
      <w:r>
        <w:rPr>
          <w:rFonts w:asciiTheme="majorEastAsia" w:eastAsiaTheme="majorEastAsia" w:hAnsiTheme="majorEastAsia" w:hint="eastAsia"/>
          <w:sz w:val="22"/>
        </w:rPr>
        <w:t>70.3</w:t>
      </w:r>
      <w:r>
        <w:rPr>
          <w:rFonts w:asciiTheme="majorEastAsia" w:eastAsiaTheme="majorEastAsia" w:hAnsiTheme="majorEastAsia" w:hint="eastAsia"/>
          <w:sz w:val="22"/>
        </w:rPr>
        <w:t>％、</w:t>
      </w:r>
      <w:r>
        <w:rPr>
          <w:rFonts w:asciiTheme="majorEastAsia" w:eastAsiaTheme="majorEastAsia" w:hAnsiTheme="majorEastAsia" w:hint="eastAsia"/>
          <w:sz w:val="22"/>
        </w:rPr>
        <w:t>5</w:t>
      </w:r>
      <w:r>
        <w:rPr>
          <w:rFonts w:asciiTheme="majorEastAsia" w:eastAsiaTheme="majorEastAsia" w:hAnsiTheme="majorEastAsia" w:hint="eastAsia"/>
          <w:sz w:val="22"/>
        </w:rPr>
        <w:t>年前に比べ</w:t>
      </w:r>
      <w:r>
        <w:rPr>
          <w:rFonts w:asciiTheme="majorEastAsia" w:eastAsiaTheme="majorEastAsia" w:hAnsiTheme="majorEastAsia" w:hint="eastAsia"/>
          <w:sz w:val="22"/>
        </w:rPr>
        <w:t>0.8</w:t>
      </w:r>
      <w:r>
        <w:rPr>
          <w:rFonts w:asciiTheme="majorEastAsia" w:eastAsiaTheme="majorEastAsia" w:hAnsiTheme="majorEastAsia" w:hint="eastAsia"/>
          <w:sz w:val="22"/>
        </w:rPr>
        <w:t>ポイント減少したが全国第</w:t>
      </w:r>
      <w:r>
        <w:rPr>
          <w:rFonts w:asciiTheme="majorEastAsia" w:eastAsiaTheme="majorEastAsia" w:hAnsiTheme="majorEastAsia" w:hint="eastAsia"/>
          <w:sz w:val="22"/>
        </w:rPr>
        <w:t>1</w:t>
      </w:r>
      <w:r>
        <w:rPr>
          <w:rFonts w:asciiTheme="majorEastAsia" w:eastAsiaTheme="majorEastAsia" w:hAnsiTheme="majorEastAsia" w:hint="eastAsia"/>
          <w:sz w:val="22"/>
        </w:rPr>
        <w:t>位</w:t>
      </w:r>
    </w:p>
    <w:p w14:paraId="1A332F8F" w14:textId="77777777" w:rsidR="00086DAA" w:rsidRDefault="005541F6">
      <w:pPr>
        <w:ind w:left="233" w:hangingChars="118" w:hanging="233"/>
        <w:jc w:val="center"/>
        <w:rPr>
          <w:rFonts w:asciiTheme="majorEastAsia" w:eastAsiaTheme="majorEastAsia" w:hAnsiTheme="majorEastAsia"/>
          <w:sz w:val="24"/>
        </w:rPr>
      </w:pPr>
      <w:hyperlink r:id="rId20" w:history="1">
        <w:r>
          <w:rPr>
            <w:rFonts w:asciiTheme="majorEastAsia" w:eastAsiaTheme="majorEastAsia" w:hAnsiTheme="majorEastAsia"/>
            <w:sz w:val="24"/>
          </w:rPr>
          <w:object w:dxaOrig="6675" w:dyaOrig="2445" w14:anchorId="48E91EB9">
            <v:shape id="_x0000_i1026" type="#_x0000_t75" style="width:309.6pt;height:108pt" o:ole="">
              <v:imagedata r:id="rId21" o:title=""/>
            </v:shape>
            <o:OLEObject Type="Embed" ProgID="Excel.Sheet.12" ShapeID="_x0000_i1026" DrawAspect="Content" ObjectID="_1739084494" r:id="rId22"/>
          </w:object>
        </w:r>
      </w:hyperlink>
    </w:p>
    <w:p w14:paraId="38B434D6" w14:textId="1376066B" w:rsidR="00086DAA" w:rsidRDefault="005541F6">
      <w:pPr>
        <w:ind w:left="233" w:hangingChars="118" w:hanging="233"/>
        <w:jc w:val="center"/>
        <w:rPr>
          <w:rFonts w:asciiTheme="majorEastAsia" w:eastAsiaTheme="majorEastAsia" w:hAnsiTheme="majorEastAsia"/>
          <w:sz w:val="24"/>
        </w:rPr>
      </w:pPr>
      <w:hyperlink r:id="rId23" w:history="1">
        <w:r>
          <w:rPr>
            <w:rFonts w:asciiTheme="majorEastAsia" w:eastAsiaTheme="majorEastAsia" w:hAnsiTheme="majorEastAsia"/>
            <w:sz w:val="24"/>
          </w:rPr>
          <w:pict w14:anchorId="044CDAE4">
            <v:shape id="_x0000_i1135" type="#_x0000_t75" style="width:403.2pt;height:237.6pt">
              <v:imagedata r:id="rId24" o:title=""/>
            </v:shape>
          </w:pict>
        </w:r>
      </w:hyperlink>
      <w:r>
        <w:rPr>
          <w:rFonts w:asciiTheme="majorEastAsia" w:eastAsiaTheme="majorEastAsia" w:hAnsiTheme="majorEastAsia"/>
          <w:sz w:val="24"/>
        </w:rPr>
        <w:br w:type="page"/>
      </w:r>
    </w:p>
    <w:p w14:paraId="745BDA8E" w14:textId="77777777" w:rsidR="00086DAA" w:rsidRDefault="005541F6">
      <w:pPr>
        <w:ind w:left="293" w:hangingChars="118" w:hanging="293"/>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【平成</w:t>
      </w:r>
      <w:r>
        <w:rPr>
          <w:rFonts w:asciiTheme="majorEastAsia" w:eastAsiaTheme="majorEastAsia" w:hAnsiTheme="majorEastAsia" w:hint="eastAsia"/>
          <w:b/>
          <w:sz w:val="26"/>
        </w:rPr>
        <w:t>30</w:t>
      </w:r>
      <w:r>
        <w:rPr>
          <w:rFonts w:asciiTheme="majorEastAsia" w:eastAsiaTheme="majorEastAsia" w:hAnsiTheme="majorEastAsia" w:hint="eastAsia"/>
          <w:b/>
          <w:sz w:val="26"/>
        </w:rPr>
        <w:t>年住宅・土地統計調査　秋田県の概要】</w:t>
      </w:r>
    </w:p>
    <w:p w14:paraId="02DC75D2" w14:textId="77777777" w:rsidR="00086DAA" w:rsidRDefault="005541F6">
      <w:pPr>
        <w:ind w:left="269" w:hangingChars="118" w:hanging="269"/>
        <w:jc w:val="left"/>
        <w:rPr>
          <w:rFonts w:asciiTheme="majorEastAsia" w:eastAsiaTheme="majorEastAsia" w:hAnsiTheme="majorEastAsia"/>
          <w:b/>
          <w:sz w:val="24"/>
        </w:rPr>
      </w:pPr>
      <w:r>
        <w:rPr>
          <w:rFonts w:asciiTheme="majorEastAsia" w:eastAsiaTheme="majorEastAsia" w:hAnsiTheme="majorEastAsia" w:hint="eastAsia"/>
          <w:b/>
          <w:sz w:val="24"/>
        </w:rPr>
        <w:t>Ⅰ　住宅・世帯の概況</w:t>
      </w:r>
    </w:p>
    <w:p w14:paraId="5EA0B30F" w14:textId="77777777" w:rsidR="00086DAA" w:rsidRDefault="005541F6">
      <w:pPr>
        <w:ind w:left="269" w:hangingChars="118" w:hanging="269"/>
        <w:jc w:val="left"/>
        <w:rPr>
          <w:rFonts w:asciiTheme="majorEastAsia" w:eastAsiaTheme="majorEastAsia" w:hAnsiTheme="majorEastAsia"/>
          <w:b/>
          <w:sz w:val="24"/>
        </w:rPr>
      </w:pPr>
      <w:r>
        <w:rPr>
          <w:rFonts w:asciiTheme="majorEastAsia" w:eastAsiaTheme="majorEastAsia" w:hAnsiTheme="majorEastAsia" w:hint="eastAsia"/>
          <w:b/>
          <w:sz w:val="24"/>
        </w:rPr>
        <w:t>１　総住宅数と総世帯数</w:t>
      </w:r>
    </w:p>
    <w:p w14:paraId="56022203" w14:textId="77777777" w:rsidR="00086DAA" w:rsidRDefault="005541F6">
      <w:pPr>
        <w:pStyle w:val="ad"/>
        <w:ind w:leftChars="67" w:left="132" w:firstLineChars="117" w:firstLine="243"/>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w:t>
      </w:r>
      <w:r>
        <w:rPr>
          <w:rFonts w:asciiTheme="minorEastAsia" w:hAnsiTheme="minorEastAsia" w:hint="eastAsia"/>
          <w:sz w:val="22"/>
        </w:rPr>
        <w:t>10</w:t>
      </w:r>
      <w:r>
        <w:rPr>
          <w:rFonts w:asciiTheme="minorEastAsia" w:hAnsiTheme="minorEastAsia" w:hint="eastAsia"/>
          <w:sz w:val="22"/>
        </w:rPr>
        <w:t>月</w:t>
      </w:r>
      <w:r>
        <w:rPr>
          <w:rFonts w:asciiTheme="minorEastAsia" w:hAnsiTheme="minorEastAsia" w:hint="eastAsia"/>
          <w:sz w:val="22"/>
        </w:rPr>
        <w:t>1</w:t>
      </w:r>
      <w:r>
        <w:rPr>
          <w:rFonts w:asciiTheme="minorEastAsia" w:hAnsiTheme="minorEastAsia" w:hint="eastAsia"/>
          <w:sz w:val="22"/>
        </w:rPr>
        <w:t>日現在における総住宅数は</w:t>
      </w:r>
      <w:r>
        <w:rPr>
          <w:rFonts w:asciiTheme="minorEastAsia" w:hAnsiTheme="minorEastAsia" w:hint="eastAsia"/>
          <w:sz w:val="22"/>
        </w:rPr>
        <w:t>445,700</w:t>
      </w:r>
      <w:r>
        <w:rPr>
          <w:rFonts w:asciiTheme="minorEastAsia" w:hAnsiTheme="minorEastAsia" w:hint="eastAsia"/>
          <w:sz w:val="22"/>
        </w:rPr>
        <w:t>戸で、総世帯数は</w:t>
      </w:r>
      <w:r>
        <w:rPr>
          <w:rFonts w:asciiTheme="minorEastAsia" w:hAnsiTheme="minorEastAsia" w:hint="eastAsia"/>
          <w:sz w:val="22"/>
        </w:rPr>
        <w:t>385,900</w:t>
      </w:r>
      <w:r>
        <w:rPr>
          <w:rFonts w:asciiTheme="minorEastAsia" w:hAnsiTheme="minorEastAsia" w:hint="eastAsia"/>
          <w:sz w:val="22"/>
        </w:rPr>
        <w:t>世帯となっている。平成</w:t>
      </w:r>
      <w:r>
        <w:rPr>
          <w:rFonts w:asciiTheme="minorEastAsia" w:hAnsiTheme="minorEastAsia" w:hint="eastAsia"/>
          <w:sz w:val="22"/>
        </w:rPr>
        <w:t>25</w:t>
      </w:r>
      <w:r>
        <w:rPr>
          <w:rFonts w:asciiTheme="minorEastAsia" w:hAnsiTheme="minorEastAsia" w:hint="eastAsia"/>
          <w:sz w:val="22"/>
        </w:rPr>
        <w:t>年からの増加数をみると、総住宅数は</w:t>
      </w:r>
      <w:r>
        <w:rPr>
          <w:rFonts w:asciiTheme="minorEastAsia" w:hAnsiTheme="minorEastAsia" w:hint="eastAsia"/>
          <w:sz w:val="22"/>
        </w:rPr>
        <w:t>1,200</w:t>
      </w:r>
      <w:r>
        <w:rPr>
          <w:rFonts w:asciiTheme="minorEastAsia" w:hAnsiTheme="minorEastAsia" w:hint="eastAsia"/>
          <w:sz w:val="22"/>
        </w:rPr>
        <w:t>戸、総世帯数は</w:t>
      </w:r>
      <w:r>
        <w:rPr>
          <w:rFonts w:asciiTheme="minorEastAsia" w:hAnsiTheme="minorEastAsia" w:hint="eastAsia"/>
          <w:sz w:val="22"/>
        </w:rPr>
        <w:t>4,100</w:t>
      </w:r>
      <w:r>
        <w:rPr>
          <w:rFonts w:asciiTheme="minorEastAsia" w:hAnsiTheme="minorEastAsia" w:hint="eastAsia"/>
          <w:sz w:val="22"/>
        </w:rPr>
        <w:t>世帯の減少となっていて、それぞれの減少率は、総住宅数が</w:t>
      </w:r>
      <w:r>
        <w:rPr>
          <w:rFonts w:asciiTheme="minorEastAsia" w:hAnsiTheme="minorEastAsia" w:hint="eastAsia"/>
          <w:sz w:val="22"/>
        </w:rPr>
        <w:t>0.3</w:t>
      </w:r>
      <w:r>
        <w:rPr>
          <w:rFonts w:asciiTheme="minorEastAsia" w:hAnsiTheme="minorEastAsia" w:hint="eastAsia"/>
          <w:sz w:val="22"/>
        </w:rPr>
        <w:t>％で総世帯数は</w:t>
      </w:r>
      <w:r>
        <w:rPr>
          <w:rFonts w:asciiTheme="minorEastAsia" w:hAnsiTheme="minorEastAsia" w:hint="eastAsia"/>
          <w:sz w:val="22"/>
        </w:rPr>
        <w:t>1.1</w:t>
      </w:r>
      <w:r>
        <w:rPr>
          <w:rFonts w:asciiTheme="minorEastAsia" w:hAnsiTheme="minorEastAsia" w:hint="eastAsia"/>
          <w:sz w:val="22"/>
        </w:rPr>
        <w:t>％であった。</w:t>
      </w:r>
    </w:p>
    <w:p w14:paraId="2ADFBC96" w14:textId="77777777" w:rsidR="00086DAA" w:rsidRDefault="005541F6">
      <w:pPr>
        <w:pStyle w:val="ad"/>
        <w:ind w:leftChars="67" w:left="132" w:firstLineChars="117" w:firstLine="243"/>
        <w:rPr>
          <w:rFonts w:asciiTheme="minorEastAsia" w:hAnsiTheme="minorEastAsia"/>
          <w:sz w:val="22"/>
        </w:rPr>
      </w:pPr>
      <w:r>
        <w:rPr>
          <w:rFonts w:asciiTheme="minorEastAsia" w:hAnsiTheme="minorEastAsia" w:hint="eastAsia"/>
          <w:sz w:val="22"/>
        </w:rPr>
        <w:t>総住宅数は平成</w:t>
      </w:r>
      <w:r>
        <w:rPr>
          <w:rFonts w:asciiTheme="minorEastAsia" w:hAnsiTheme="minorEastAsia" w:hint="eastAsia"/>
          <w:sz w:val="22"/>
        </w:rPr>
        <w:t>25</w:t>
      </w:r>
      <w:r>
        <w:rPr>
          <w:rFonts w:asciiTheme="minorEastAsia" w:hAnsiTheme="minorEastAsia" w:hint="eastAsia"/>
          <w:sz w:val="22"/>
        </w:rPr>
        <w:t>年まで増加傾向が続いていたが、平成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0.3</w:t>
      </w:r>
      <w:r>
        <w:rPr>
          <w:rFonts w:asciiTheme="minorEastAsia" w:hAnsiTheme="minorEastAsia" w:hint="eastAsia"/>
          <w:sz w:val="22"/>
        </w:rPr>
        <w:t>ポイントの減少であった。</w:t>
      </w:r>
    </w:p>
    <w:p w14:paraId="645284C1" w14:textId="0E743540" w:rsidR="00086DAA" w:rsidRDefault="005541F6">
      <w:pPr>
        <w:pStyle w:val="ad"/>
        <w:ind w:leftChars="67" w:left="132" w:firstLineChars="117" w:firstLine="231"/>
        <w:jc w:val="left"/>
        <w:rPr>
          <w:rFonts w:asciiTheme="minorEastAsia" w:hAnsiTheme="minorEastAsia"/>
          <w:sz w:val="22"/>
        </w:rPr>
      </w:pPr>
      <w:r>
        <w:rPr>
          <w:noProof/>
        </w:rPr>
        <w:drawing>
          <wp:anchor distT="0" distB="0" distL="114300" distR="114300" simplePos="0" relativeHeight="12" behindDoc="0" locked="0" layoutInCell="1" hidden="0" allowOverlap="1" wp14:anchorId="3A6AD76E" wp14:editId="2AF082E7">
            <wp:simplePos x="0" y="0"/>
            <wp:positionH relativeFrom="column">
              <wp:posOffset>173990</wp:posOffset>
            </wp:positionH>
            <wp:positionV relativeFrom="paragraph">
              <wp:posOffset>4446905</wp:posOffset>
            </wp:positionV>
            <wp:extent cx="5824220" cy="2790825"/>
            <wp:effectExtent l="0" t="0" r="5080" b="9525"/>
            <wp:wrapSquare wrapText="bothSides"/>
            <wp:docPr id="104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noProof/>
        </w:rPr>
        <w:drawing>
          <wp:anchor distT="0" distB="0" distL="114300" distR="114300" simplePos="0" relativeHeight="13" behindDoc="0" locked="0" layoutInCell="1" hidden="0" allowOverlap="1" wp14:anchorId="74FE51F0" wp14:editId="48BA757D">
            <wp:simplePos x="0" y="0"/>
            <wp:positionH relativeFrom="column">
              <wp:posOffset>173990</wp:posOffset>
            </wp:positionH>
            <wp:positionV relativeFrom="paragraph">
              <wp:posOffset>539115</wp:posOffset>
            </wp:positionV>
            <wp:extent cx="5824220" cy="2385695"/>
            <wp:effectExtent l="0" t="0" r="5080" b="14605"/>
            <wp:wrapSquare wrapText="bothSides"/>
            <wp:docPr id="1049"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Pr>
          <w:rFonts w:asciiTheme="minorEastAsia" w:hAnsiTheme="minorEastAsia" w:hint="eastAsia"/>
          <w:sz w:val="22"/>
        </w:rPr>
        <w:t>また、秋田県では昭和</w:t>
      </w:r>
      <w:r>
        <w:rPr>
          <w:rFonts w:asciiTheme="minorEastAsia" w:hAnsiTheme="minorEastAsia" w:hint="eastAsia"/>
          <w:sz w:val="22"/>
        </w:rPr>
        <w:t>48</w:t>
      </w:r>
      <w:r>
        <w:rPr>
          <w:rFonts w:asciiTheme="minorEastAsia" w:hAnsiTheme="minorEastAsia" w:hint="eastAsia"/>
          <w:sz w:val="22"/>
        </w:rPr>
        <w:t>年以降総住宅数が総世帯数を上回る状態が続いているが、平成</w:t>
      </w:r>
      <w:r>
        <w:rPr>
          <w:rFonts w:asciiTheme="minorEastAsia" w:hAnsiTheme="minorEastAsia" w:hint="eastAsia"/>
          <w:sz w:val="22"/>
        </w:rPr>
        <w:t>30</w:t>
      </w:r>
      <w:r>
        <w:rPr>
          <w:rFonts w:asciiTheme="minorEastAsia" w:hAnsiTheme="minorEastAsia" w:hint="eastAsia"/>
          <w:sz w:val="22"/>
        </w:rPr>
        <w:t>年の</w:t>
      </w:r>
      <w:r>
        <w:rPr>
          <w:rFonts w:asciiTheme="minorEastAsia" w:hAnsiTheme="minorEastAsia" w:hint="eastAsia"/>
          <w:sz w:val="22"/>
        </w:rPr>
        <w:t>1</w:t>
      </w:r>
      <w:r>
        <w:rPr>
          <w:rFonts w:asciiTheme="minorEastAsia" w:hAnsiTheme="minorEastAsia" w:hint="eastAsia"/>
          <w:sz w:val="22"/>
        </w:rPr>
        <w:t>世帯当たりの住宅数は平成</w:t>
      </w:r>
      <w:r>
        <w:rPr>
          <w:rFonts w:asciiTheme="minorEastAsia" w:hAnsiTheme="minorEastAsia" w:hint="eastAsia"/>
          <w:sz w:val="22"/>
        </w:rPr>
        <w:t>25</w:t>
      </w:r>
      <w:r>
        <w:rPr>
          <w:rFonts w:asciiTheme="minorEastAsia" w:hAnsiTheme="minorEastAsia" w:hint="eastAsia"/>
          <w:sz w:val="22"/>
        </w:rPr>
        <w:t>年と同じ</w:t>
      </w:r>
      <w:r>
        <w:rPr>
          <w:rFonts w:asciiTheme="minorEastAsia" w:hAnsiTheme="minorEastAsia" w:hint="eastAsia"/>
          <w:sz w:val="22"/>
        </w:rPr>
        <w:t>1.15</w:t>
      </w:r>
      <w:r>
        <w:rPr>
          <w:rFonts w:asciiTheme="minorEastAsia" w:hAnsiTheme="minorEastAsia" w:hint="eastAsia"/>
          <w:sz w:val="22"/>
        </w:rPr>
        <w:t>戸であった。</w:t>
      </w:r>
      <w:r>
        <w:rPr>
          <w:rFonts w:asciiTheme="majorEastAsia" w:eastAsiaTheme="majorEastAsia" w:hAnsiTheme="majorEastAsia"/>
          <w:b/>
          <w:sz w:val="24"/>
        </w:rPr>
        <w:pict w14:anchorId="30036CDD">
          <v:shape id="_x0000_i1133" type="#_x0000_t75" style="width:446.4pt;height:100.8pt">
            <v:imagedata r:id="rId27" o:title=""/>
          </v:shape>
        </w:pict>
      </w:r>
    </w:p>
    <w:p w14:paraId="4CBBDE24" w14:textId="77777777" w:rsidR="00086DAA" w:rsidRDefault="005541F6">
      <w:pPr>
        <w:widowControl/>
        <w:jc w:val="left"/>
        <w:rPr>
          <w:rFonts w:asciiTheme="majorEastAsia" w:eastAsiaTheme="majorEastAsia" w:hAnsiTheme="majorEastAsia"/>
          <w:b/>
          <w:sz w:val="22"/>
        </w:rPr>
      </w:pPr>
      <w:r>
        <w:rPr>
          <w:rFonts w:asciiTheme="majorEastAsia" w:eastAsiaTheme="majorEastAsia" w:hAnsiTheme="majorEastAsia"/>
          <w:b/>
          <w:sz w:val="28"/>
        </w:rPr>
        <w:br w:type="page"/>
      </w:r>
    </w:p>
    <w:p w14:paraId="5E45F8D9" w14:textId="77777777" w:rsidR="00086DAA" w:rsidRDefault="005541F6">
      <w:pPr>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２　居住世帯の有無</w:t>
      </w:r>
    </w:p>
    <w:p w14:paraId="3D687AA5" w14:textId="77777777" w:rsidR="00086DAA" w:rsidRDefault="005541F6">
      <w:pPr>
        <w:ind w:leftChars="72" w:left="142" w:firstLineChars="118" w:firstLine="245"/>
        <w:jc w:val="left"/>
        <w:rPr>
          <w:rFonts w:asciiTheme="minorEastAsia" w:hAnsiTheme="minorEastAsia"/>
          <w:sz w:val="22"/>
        </w:rPr>
      </w:pPr>
      <w:r>
        <w:rPr>
          <w:rFonts w:asciiTheme="minorEastAsia" w:hAnsiTheme="minorEastAsia" w:hint="eastAsia"/>
          <w:sz w:val="22"/>
        </w:rPr>
        <w:t>県内の総住宅数</w:t>
      </w:r>
      <w:r>
        <w:rPr>
          <w:rFonts w:asciiTheme="minorEastAsia" w:hAnsiTheme="minorEastAsia" w:hint="eastAsia"/>
          <w:sz w:val="22"/>
        </w:rPr>
        <w:t>445,700</w:t>
      </w:r>
      <w:r>
        <w:rPr>
          <w:rFonts w:asciiTheme="minorEastAsia" w:hAnsiTheme="minorEastAsia" w:hint="eastAsia"/>
          <w:sz w:val="22"/>
        </w:rPr>
        <w:t>戸について居住世帯の有無をみると、「居住世帯のある住宅」は</w:t>
      </w:r>
      <w:r>
        <w:rPr>
          <w:rFonts w:asciiTheme="minorEastAsia" w:hAnsiTheme="minorEastAsia" w:hint="eastAsia"/>
          <w:sz w:val="22"/>
        </w:rPr>
        <w:t>383,8</w:t>
      </w:r>
      <w:r>
        <w:rPr>
          <w:rFonts w:asciiTheme="minorEastAsia" w:hAnsiTheme="minorEastAsia" w:hint="eastAsia"/>
          <w:sz w:val="22"/>
        </w:rPr>
        <w:t>00</w:t>
      </w:r>
      <w:r>
        <w:rPr>
          <w:rFonts w:asciiTheme="minorEastAsia" w:hAnsiTheme="minorEastAsia" w:hint="eastAsia"/>
          <w:sz w:val="22"/>
        </w:rPr>
        <w:t>戸で総住宅数の</w:t>
      </w:r>
      <w:r>
        <w:rPr>
          <w:rFonts w:asciiTheme="minorEastAsia" w:hAnsiTheme="minorEastAsia" w:hint="eastAsia"/>
          <w:sz w:val="22"/>
        </w:rPr>
        <w:t>86.1</w:t>
      </w:r>
      <w:r>
        <w:rPr>
          <w:rFonts w:asciiTheme="minorEastAsia" w:hAnsiTheme="minorEastAsia" w:hint="eastAsia"/>
          <w:sz w:val="22"/>
        </w:rPr>
        <w:t>％となっていて、空き家や建築中の住宅などの「居住世帯のない住宅」は</w:t>
      </w:r>
      <w:r>
        <w:rPr>
          <w:rFonts w:asciiTheme="minorEastAsia" w:hAnsiTheme="minorEastAsia" w:hint="eastAsia"/>
          <w:sz w:val="22"/>
        </w:rPr>
        <w:t>61,900</w:t>
      </w:r>
      <w:r>
        <w:rPr>
          <w:rFonts w:asciiTheme="minorEastAsia" w:hAnsiTheme="minorEastAsia" w:hint="eastAsia"/>
          <w:sz w:val="22"/>
        </w:rPr>
        <w:t>戸で総住宅数の</w:t>
      </w:r>
      <w:r>
        <w:rPr>
          <w:rFonts w:asciiTheme="minorEastAsia" w:hAnsiTheme="minorEastAsia" w:hint="eastAsia"/>
          <w:sz w:val="22"/>
        </w:rPr>
        <w:t>13.9</w:t>
      </w:r>
      <w:r>
        <w:rPr>
          <w:rFonts w:asciiTheme="minorEastAsia" w:hAnsiTheme="minorEastAsia" w:hint="eastAsia"/>
          <w:sz w:val="22"/>
        </w:rPr>
        <w:t>％となっている。</w:t>
      </w:r>
    </w:p>
    <w:p w14:paraId="6C35CF4D" w14:textId="77777777" w:rsidR="00086DAA" w:rsidRDefault="005541F6">
      <w:pPr>
        <w:ind w:leftChars="72" w:left="142" w:firstLineChars="118" w:firstLine="245"/>
        <w:jc w:val="left"/>
        <w:rPr>
          <w:rFonts w:asciiTheme="minorEastAsia" w:hAnsiTheme="minorEastAsia"/>
          <w:sz w:val="22"/>
        </w:rPr>
      </w:pPr>
      <w:r>
        <w:rPr>
          <w:rFonts w:asciiTheme="minorEastAsia" w:hAnsiTheme="minorEastAsia" w:hint="eastAsia"/>
          <w:sz w:val="22"/>
        </w:rPr>
        <w:t>「居住世帯のない住宅」のうち「空き家」は</w:t>
      </w:r>
      <w:r>
        <w:rPr>
          <w:rFonts w:asciiTheme="minorEastAsia" w:hAnsiTheme="minorEastAsia" w:hint="eastAsia"/>
          <w:sz w:val="22"/>
        </w:rPr>
        <w:t>60,800</w:t>
      </w:r>
      <w:r>
        <w:rPr>
          <w:rFonts w:asciiTheme="minorEastAsia" w:hAnsiTheme="minorEastAsia" w:hint="eastAsia"/>
          <w:sz w:val="22"/>
        </w:rPr>
        <w:t>戸となっていて、昭和</w:t>
      </w:r>
      <w:r>
        <w:rPr>
          <w:rFonts w:asciiTheme="minorEastAsia" w:hAnsiTheme="minorEastAsia" w:hint="eastAsia"/>
          <w:sz w:val="22"/>
        </w:rPr>
        <w:t>63</w:t>
      </w:r>
      <w:r>
        <w:rPr>
          <w:rFonts w:asciiTheme="minorEastAsia" w:hAnsiTheme="minorEastAsia" w:hint="eastAsia"/>
          <w:sz w:val="22"/>
        </w:rPr>
        <w:t>年に</w:t>
      </w:r>
      <w:r>
        <w:rPr>
          <w:rFonts w:asciiTheme="minorEastAsia" w:hAnsiTheme="minorEastAsia" w:hint="eastAsia"/>
          <w:sz w:val="22"/>
        </w:rPr>
        <w:t>27,800</w:t>
      </w:r>
      <w:r>
        <w:rPr>
          <w:rFonts w:asciiTheme="minorEastAsia" w:hAnsiTheme="minorEastAsia" w:hint="eastAsia"/>
          <w:sz w:val="22"/>
        </w:rPr>
        <w:t>戸であった空き家数はこの</w:t>
      </w:r>
      <w:r>
        <w:rPr>
          <w:rFonts w:asciiTheme="minorEastAsia" w:hAnsiTheme="minorEastAsia" w:hint="eastAsia"/>
          <w:sz w:val="22"/>
        </w:rPr>
        <w:t>30</w:t>
      </w:r>
      <w:r>
        <w:rPr>
          <w:rFonts w:asciiTheme="minorEastAsia" w:hAnsiTheme="minorEastAsia" w:hint="eastAsia"/>
          <w:sz w:val="22"/>
        </w:rPr>
        <w:t>年間で</w:t>
      </w:r>
      <w:r>
        <w:rPr>
          <w:rFonts w:asciiTheme="minorEastAsia" w:hAnsiTheme="minorEastAsia" w:hint="eastAsia"/>
          <w:sz w:val="22"/>
        </w:rPr>
        <w:t>2</w:t>
      </w:r>
      <w:r>
        <w:rPr>
          <w:rFonts w:asciiTheme="minorEastAsia" w:hAnsiTheme="minorEastAsia" w:hint="eastAsia"/>
          <w:sz w:val="22"/>
        </w:rPr>
        <w:t>倍以上に増加している。また、平成</w:t>
      </w:r>
      <w:r>
        <w:rPr>
          <w:rFonts w:asciiTheme="minorEastAsia" w:hAnsiTheme="minorEastAsia" w:hint="eastAsia"/>
          <w:sz w:val="22"/>
        </w:rPr>
        <w:t>30</w:t>
      </w:r>
      <w:r>
        <w:rPr>
          <w:rFonts w:asciiTheme="minorEastAsia" w:hAnsiTheme="minorEastAsia" w:hint="eastAsia"/>
          <w:sz w:val="22"/>
        </w:rPr>
        <w:t>年の空き家率（総住宅数に占める空き家の割合）は</w:t>
      </w:r>
      <w:r>
        <w:rPr>
          <w:rFonts w:asciiTheme="minorEastAsia" w:hAnsiTheme="minorEastAsia" w:hint="eastAsia"/>
          <w:sz w:val="22"/>
        </w:rPr>
        <w:t>13.6</w:t>
      </w:r>
      <w:r>
        <w:rPr>
          <w:rFonts w:asciiTheme="minorEastAsia" w:hAnsiTheme="minorEastAsia" w:hint="eastAsia"/>
          <w:sz w:val="22"/>
        </w:rPr>
        <w:t>％で</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0.9</w:t>
      </w:r>
      <w:r>
        <w:rPr>
          <w:rFonts w:asciiTheme="minorEastAsia" w:hAnsiTheme="minorEastAsia" w:hint="eastAsia"/>
          <w:sz w:val="22"/>
        </w:rPr>
        <w:t>ポイント増加しており、全国の</w:t>
      </w:r>
      <w:r>
        <w:rPr>
          <w:rFonts w:asciiTheme="minorEastAsia" w:hAnsiTheme="minorEastAsia" w:hint="eastAsia"/>
          <w:sz w:val="22"/>
        </w:rPr>
        <w:t>13.6</w:t>
      </w:r>
      <w:r>
        <w:rPr>
          <w:rFonts w:asciiTheme="minorEastAsia" w:hAnsiTheme="minorEastAsia" w:hint="eastAsia"/>
          <w:sz w:val="22"/>
        </w:rPr>
        <w:t>％と同率となっている。</w:t>
      </w:r>
    </w:p>
    <w:p w14:paraId="675EA220" w14:textId="77777777" w:rsidR="00086DAA" w:rsidRDefault="005541F6">
      <w:pPr>
        <w:ind w:leftChars="72" w:left="142" w:firstLineChars="118" w:firstLine="245"/>
        <w:jc w:val="left"/>
        <w:rPr>
          <w:rFonts w:asciiTheme="minorEastAsia" w:hAnsiTheme="minorEastAsia"/>
          <w:sz w:val="22"/>
        </w:rPr>
      </w:pPr>
      <w:r>
        <w:rPr>
          <w:rFonts w:asciiTheme="minorEastAsia" w:hAnsiTheme="minorEastAsia" w:hint="eastAsia"/>
          <w:sz w:val="22"/>
        </w:rPr>
        <w:t>この空き家の内訳をみると、「その他の住宅（注）」が</w:t>
      </w:r>
      <w:r>
        <w:rPr>
          <w:rFonts w:asciiTheme="minorEastAsia" w:hAnsiTheme="minorEastAsia" w:hint="eastAsia"/>
          <w:sz w:val="22"/>
        </w:rPr>
        <w:t>64.0</w:t>
      </w:r>
      <w:r>
        <w:rPr>
          <w:rFonts w:asciiTheme="minorEastAsia" w:hAnsiTheme="minorEastAsia" w:hint="eastAsia"/>
          <w:sz w:val="22"/>
        </w:rPr>
        <w:t>％で空き家の</w:t>
      </w:r>
      <w:r>
        <w:rPr>
          <w:rFonts w:asciiTheme="minorEastAsia" w:hAnsiTheme="minorEastAsia" w:hint="eastAsia"/>
          <w:sz w:val="22"/>
        </w:rPr>
        <w:t>６割以上を占め、供給可能な「賃貸用の住宅」</w:t>
      </w:r>
      <w:r>
        <w:rPr>
          <w:rFonts w:asciiTheme="minorEastAsia" w:hAnsiTheme="minorEastAsia" w:hint="eastAsia"/>
          <w:sz w:val="22"/>
        </w:rPr>
        <w:t>32.2</w:t>
      </w:r>
      <w:r>
        <w:rPr>
          <w:rFonts w:asciiTheme="minorEastAsia" w:hAnsiTheme="minorEastAsia" w:hint="eastAsia"/>
          <w:sz w:val="22"/>
        </w:rPr>
        <w:t>％や「売却用の住宅」</w:t>
      </w:r>
      <w:r>
        <w:rPr>
          <w:rFonts w:asciiTheme="minorEastAsia" w:hAnsiTheme="minorEastAsia" w:hint="eastAsia"/>
          <w:sz w:val="22"/>
        </w:rPr>
        <w:t>1.6</w:t>
      </w:r>
      <w:r>
        <w:rPr>
          <w:rFonts w:asciiTheme="minorEastAsia" w:hAnsiTheme="minorEastAsia" w:hint="eastAsia"/>
          <w:sz w:val="22"/>
        </w:rPr>
        <w:t>％を大きく上回っている。</w:t>
      </w:r>
    </w:p>
    <w:p w14:paraId="347E87DB" w14:textId="77777777" w:rsidR="00086DAA" w:rsidRDefault="005541F6">
      <w:pPr>
        <w:jc w:val="left"/>
        <w:rPr>
          <w:rFonts w:asciiTheme="minorEastAsia" w:hAnsiTheme="minorEastAsia"/>
          <w:sz w:val="22"/>
        </w:rPr>
      </w:pPr>
      <w:r>
        <w:rPr>
          <w:noProof/>
        </w:rPr>
        <mc:AlternateContent>
          <mc:Choice Requires="wps">
            <w:drawing>
              <wp:anchor distT="0" distB="0" distL="114300" distR="114300" simplePos="0" relativeHeight="14" behindDoc="0" locked="0" layoutInCell="1" hidden="0" allowOverlap="1" wp14:anchorId="5221F509" wp14:editId="7BC241E4">
                <wp:simplePos x="0" y="0"/>
                <wp:positionH relativeFrom="column">
                  <wp:posOffset>214630</wp:posOffset>
                </wp:positionH>
                <wp:positionV relativeFrom="paragraph">
                  <wp:posOffset>134620</wp:posOffset>
                </wp:positionV>
                <wp:extent cx="6019165" cy="414655"/>
                <wp:effectExtent l="635" t="635" r="29845" b="10795"/>
                <wp:wrapNone/>
                <wp:docPr id="1051" name="テキスト ボックス 14"/>
                <wp:cNvGraphicFramePr/>
                <a:graphic xmlns:a="http://schemas.openxmlformats.org/drawingml/2006/main">
                  <a:graphicData uri="http://schemas.microsoft.com/office/word/2010/wordprocessingShape">
                    <wps:wsp>
                      <wps:cNvSpPr txBox="1"/>
                      <wps:spPr>
                        <a:xfrm>
                          <a:off x="0" y="0"/>
                          <a:ext cx="6019165" cy="414655"/>
                        </a:xfrm>
                        <a:prstGeom prst="rect">
                          <a:avLst/>
                        </a:prstGeom>
                        <a:solidFill>
                          <a:sysClr val="window" lastClr="FFFFFF"/>
                        </a:solidFill>
                        <a:ln w="6350" cmpd="sng">
                          <a:solidFill>
                            <a:sysClr val="windowText" lastClr="000000"/>
                          </a:solidFill>
                          <a:prstDash val="sysDash"/>
                        </a:ln>
                        <a:effectLst/>
                      </wps:spPr>
                      <wps:txbx>
                        <w:txbxContent>
                          <w:p w14:paraId="56BC090F" w14:textId="77777777" w:rsidR="00086DAA" w:rsidRDefault="005541F6">
                            <w:pPr>
                              <w:rPr>
                                <w:rFonts w:ascii="ＭＳ 明朝" w:eastAsia="ＭＳ 明朝" w:hAnsi="ＭＳ 明朝"/>
                                <w:color w:val="000000"/>
                                <w:sz w:val="16"/>
                              </w:rPr>
                            </w:pPr>
                            <w:r>
                              <w:rPr>
                                <w:rFonts w:ascii="ＭＳ 明朝" w:eastAsia="ＭＳ 明朝" w:hAnsi="ＭＳ 明朝" w:hint="eastAsia"/>
                                <w:color w:val="000000"/>
                                <w:sz w:val="16"/>
                              </w:rPr>
                              <w:t>（注</w:t>
                            </w:r>
                            <w:r>
                              <w:rPr>
                                <w:rFonts w:ascii="ＭＳ 明朝" w:eastAsia="ＭＳ 明朝" w:hAnsi="ＭＳ 明朝" w:hint="eastAsia"/>
                                <w:color w:val="000000"/>
                                <w:sz w:val="16"/>
                              </w:rPr>
                              <w:t>)</w:t>
                            </w:r>
                            <w:r>
                              <w:rPr>
                                <w:rFonts w:ascii="ＭＳ 明朝" w:eastAsia="ＭＳ 明朝" w:hAnsi="ＭＳ 明朝" w:hint="eastAsia"/>
                                <w:color w:val="000000"/>
                                <w:sz w:val="16"/>
                              </w:rPr>
                              <w:t>「その他の住宅」とは、「賃貸用の住宅」「売却用の住宅」「二次的住宅」以外の住宅で、例えば、転勤・入院などのため居住世帯が長</w:t>
                            </w:r>
                          </w:p>
                          <w:p w14:paraId="06B46350" w14:textId="77777777" w:rsidR="00086DAA" w:rsidRDefault="005541F6">
                            <w:pPr>
                              <w:ind w:firstLineChars="300" w:firstLine="442"/>
                              <w:rPr>
                                <w:sz w:val="20"/>
                              </w:rPr>
                            </w:pPr>
                            <w:r>
                              <w:rPr>
                                <w:rFonts w:ascii="ＭＳ 明朝" w:eastAsia="ＭＳ 明朝" w:hAnsi="ＭＳ 明朝" w:hint="eastAsia"/>
                                <w:color w:val="000000"/>
                                <w:sz w:val="16"/>
                              </w:rPr>
                              <w:t>期にわたって不在の住宅や建て替えなどのために取り壊すことになっている住宅のほか、空き家の区分の判断が困難な住宅などを含む。</w:t>
                            </w:r>
                          </w:p>
                        </w:txbxContent>
                      </wps:txbx>
                      <wps:bodyPr vertOverflow="clip" horzOverflow="clip" wrap="square" lIns="0" tIns="0" rIns="0" bIns="0" rtlCol="0" anchor="t"/>
                    </wps:wsp>
                  </a:graphicData>
                </a:graphic>
              </wp:anchor>
            </w:drawing>
          </mc:Choice>
          <mc:Fallback>
            <w:pict>
              <v:shapetype id="_x0000_t202" coordsize="21600,21600" o:spt="202" path="m,l,21600r21600,l21600,xe">
                <v:stroke joinstyle="miter"/>
                <v:path gradientshapeok="t" o:connecttype="rect"/>
              </v:shapetype>
              <v:shape id="テキスト ボックス 14" style="mso-wrap-distance-right:9pt;mso-wrap-distance-bottom:0pt;margin-top:10.6pt;mso-position-vertical-relative:text;mso-position-horizontal-relative:text;v-text-anchor:top;position:absolute;height:32.65pt;mso-wrap-distance-top:0pt;width:473.95pt;mso-wrap-distance-left:9pt;margin-left:16.89pt;z-index:14;" o:spid="_x0000_s1051" o:allowincell="t" o:allowoverlap="t" filled="t" fillcolor="#ffffff" stroked="t" strokecolor="#000000" strokeweight="0.5pt" o:spt="202" type="#_x0000_t202">
                <v:fill/>
                <v:stroke linestyle="single" dashstyle="shortdash" filltype="solid"/>
                <v:textbox style="layout-flow:horizontal;" inset="0mm,0mm,0mm,0mm">
                  <w:txbxContent>
                    <w:p>
                      <w:pPr>
                        <w:pStyle w:val="0"/>
                        <w:rPr>
                          <w:rFonts w:hint="default" w:ascii="ＭＳ 明朝" w:hAnsi="ＭＳ 明朝" w:eastAsia="ＭＳ 明朝"/>
                          <w:color w:val="000000"/>
                          <w:sz w:val="16"/>
                        </w:rPr>
                      </w:pPr>
                      <w:r>
                        <w:rPr>
                          <w:rFonts w:hint="eastAsia" w:ascii="ＭＳ 明朝" w:hAnsi="ＭＳ 明朝" w:eastAsia="ＭＳ 明朝"/>
                          <w:color w:val="000000"/>
                          <w:sz w:val="16"/>
                        </w:rPr>
                        <w:t>（注</w:t>
                      </w:r>
                      <w:r>
                        <w:rPr>
                          <w:rFonts w:hint="eastAsia" w:ascii="ＭＳ 明朝" w:hAnsi="ＭＳ 明朝" w:eastAsia="ＭＳ 明朝"/>
                          <w:color w:val="000000"/>
                          <w:sz w:val="16"/>
                        </w:rPr>
                        <w:t>)</w:t>
                      </w:r>
                      <w:r>
                        <w:rPr>
                          <w:rFonts w:hint="eastAsia" w:ascii="ＭＳ 明朝" w:hAnsi="ＭＳ 明朝" w:eastAsia="ＭＳ 明朝"/>
                          <w:color w:val="000000"/>
                          <w:sz w:val="16"/>
                        </w:rPr>
                        <w:t>「その他の住宅」とは、「賃貸用の住宅」「売却用の住宅」「二次的住宅」以外の住宅で、例えば、転勤・入院などのため居住世帯が長</w:t>
                      </w:r>
                    </w:p>
                    <w:p>
                      <w:pPr>
                        <w:pStyle w:val="0"/>
                        <w:ind w:firstLine="442" w:firstLineChars="300"/>
                        <w:rPr>
                          <w:rFonts w:hint="default"/>
                          <w:sz w:val="20"/>
                        </w:rPr>
                      </w:pPr>
                      <w:r>
                        <w:rPr>
                          <w:rFonts w:hint="eastAsia" w:ascii="ＭＳ 明朝" w:hAnsi="ＭＳ 明朝" w:eastAsia="ＭＳ 明朝"/>
                          <w:color w:val="000000"/>
                          <w:sz w:val="16"/>
                        </w:rPr>
                        <w:t>期にわたって不在の住宅や建て替えなどのために取り壊すことになっている住宅のほか、空き家の区分の判断が困難な住宅などを含む。</w:t>
                      </w:r>
                    </w:p>
                  </w:txbxContent>
                </v:textbox>
                <v:imagedata o:title=""/>
                <w10:wrap type="none" anchorx="text" anchory="text"/>
              </v:shape>
            </w:pict>
          </mc:Fallback>
        </mc:AlternateContent>
      </w:r>
    </w:p>
    <w:p w14:paraId="752EBB6A" w14:textId="77777777" w:rsidR="00086DAA" w:rsidRDefault="00086DAA">
      <w:pPr>
        <w:ind w:left="269" w:hangingChars="118" w:hanging="269"/>
        <w:jc w:val="left"/>
        <w:rPr>
          <w:rFonts w:asciiTheme="majorEastAsia" w:eastAsiaTheme="majorEastAsia" w:hAnsiTheme="majorEastAsia"/>
          <w:b/>
          <w:sz w:val="24"/>
        </w:rPr>
      </w:pPr>
    </w:p>
    <w:p w14:paraId="1CD8D010" w14:textId="77777777" w:rsidR="00086DAA" w:rsidRDefault="00086DAA">
      <w:pPr>
        <w:ind w:left="269" w:hangingChars="118" w:hanging="269"/>
        <w:jc w:val="left"/>
        <w:rPr>
          <w:rFonts w:asciiTheme="majorEastAsia" w:eastAsiaTheme="majorEastAsia" w:hAnsiTheme="majorEastAsia"/>
          <w:b/>
          <w:sz w:val="24"/>
        </w:rPr>
      </w:pPr>
    </w:p>
    <w:p w14:paraId="44B2C7B6" w14:textId="7EDDF236" w:rsidR="00086DAA" w:rsidRDefault="005541F6">
      <w:pPr>
        <w:ind w:left="268" w:hangingChars="118" w:hanging="268"/>
        <w:jc w:val="center"/>
        <w:rPr>
          <w:rFonts w:asciiTheme="majorEastAsia" w:eastAsiaTheme="majorEastAsia" w:hAnsiTheme="majorEastAsia"/>
          <w:b/>
          <w:sz w:val="24"/>
        </w:rPr>
      </w:pPr>
      <w:r>
        <w:rPr>
          <w:rFonts w:asciiTheme="majorEastAsia" w:eastAsiaTheme="majorEastAsia" w:hAnsiTheme="majorEastAsia"/>
          <w:sz w:val="24"/>
        </w:rPr>
        <w:pict w14:anchorId="22179C90">
          <v:shape id="_x0000_i1131" type="#_x0000_t75" style="width:417.6pt;height:295.2pt">
            <v:imagedata r:id="rId28" o:title=""/>
          </v:shape>
        </w:pict>
      </w:r>
    </w:p>
    <w:p w14:paraId="19A4590D" w14:textId="77777777" w:rsidR="00086DAA" w:rsidRDefault="005541F6">
      <w:pPr>
        <w:ind w:left="233" w:hangingChars="118" w:hanging="233"/>
        <w:jc w:val="left"/>
        <w:rPr>
          <w:rFonts w:asciiTheme="majorEastAsia" w:eastAsiaTheme="majorEastAsia" w:hAnsiTheme="majorEastAsia"/>
          <w:sz w:val="24"/>
        </w:rPr>
      </w:pPr>
      <w:r>
        <w:rPr>
          <w:noProof/>
        </w:rPr>
        <w:drawing>
          <wp:anchor distT="0" distB="0" distL="114300" distR="114300" simplePos="0" relativeHeight="16" behindDoc="0" locked="0" layoutInCell="1" hidden="0" allowOverlap="1" wp14:anchorId="11483EE5" wp14:editId="34743B6A">
            <wp:simplePos x="0" y="0"/>
            <wp:positionH relativeFrom="column">
              <wp:posOffset>8890</wp:posOffset>
            </wp:positionH>
            <wp:positionV relativeFrom="paragraph">
              <wp:posOffset>48260</wp:posOffset>
            </wp:positionV>
            <wp:extent cx="3771900" cy="2591435"/>
            <wp:effectExtent l="0" t="0" r="0" b="18415"/>
            <wp:wrapSquare wrapText="bothSides"/>
            <wp:docPr id="105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Pr>
          <w:noProof/>
        </w:rPr>
        <w:drawing>
          <wp:inline distT="0" distB="0" distL="0" distR="0" wp14:anchorId="1E7FBD3C" wp14:editId="38F98CE6">
            <wp:extent cx="2361565" cy="2591435"/>
            <wp:effectExtent l="0" t="0" r="635" b="18415"/>
            <wp:docPr id="105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0F90995" w14:textId="77777777" w:rsidR="00086DAA" w:rsidRDefault="00086DAA">
      <w:pPr>
        <w:ind w:firstLineChars="118" w:firstLine="245"/>
        <w:jc w:val="left"/>
        <w:rPr>
          <w:rFonts w:asciiTheme="minorEastAsia" w:hAnsiTheme="minorEastAsia"/>
          <w:sz w:val="22"/>
        </w:rPr>
      </w:pPr>
    </w:p>
    <w:p w14:paraId="7CF18C5D" w14:textId="77777777" w:rsidR="00086DAA" w:rsidRDefault="005541F6">
      <w:pPr>
        <w:ind w:firstLineChars="118" w:firstLine="245"/>
        <w:jc w:val="left"/>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年の空き家率を都道府県別にみると、最も高いのは山梨県の</w:t>
      </w:r>
      <w:r>
        <w:rPr>
          <w:rFonts w:asciiTheme="minorEastAsia" w:hAnsiTheme="minorEastAsia" w:hint="eastAsia"/>
          <w:sz w:val="22"/>
        </w:rPr>
        <w:t>21.3</w:t>
      </w:r>
      <w:r>
        <w:rPr>
          <w:rFonts w:asciiTheme="minorEastAsia" w:hAnsiTheme="minorEastAsia" w:hint="eastAsia"/>
          <w:sz w:val="22"/>
        </w:rPr>
        <w:t>％、次いで和歌山県の</w:t>
      </w:r>
      <w:r>
        <w:rPr>
          <w:rFonts w:asciiTheme="minorEastAsia" w:hAnsiTheme="minorEastAsia" w:hint="eastAsia"/>
          <w:sz w:val="22"/>
        </w:rPr>
        <w:t>20.3</w:t>
      </w:r>
      <w:r>
        <w:rPr>
          <w:rFonts w:asciiTheme="minorEastAsia" w:hAnsiTheme="minorEastAsia" w:hint="eastAsia"/>
          <w:sz w:val="22"/>
        </w:rPr>
        <w:t>％、長野県の</w:t>
      </w:r>
      <w:r>
        <w:rPr>
          <w:rFonts w:asciiTheme="minorEastAsia" w:hAnsiTheme="minorEastAsia" w:hint="eastAsia"/>
          <w:sz w:val="22"/>
        </w:rPr>
        <w:t>19.6</w:t>
      </w:r>
      <w:r>
        <w:rPr>
          <w:rFonts w:asciiTheme="minorEastAsia" w:hAnsiTheme="minorEastAsia" w:hint="eastAsia"/>
          <w:sz w:val="22"/>
        </w:rPr>
        <w:t>％などとなっている。秋田県の空き家率</w:t>
      </w:r>
      <w:r>
        <w:rPr>
          <w:rFonts w:asciiTheme="minorEastAsia" w:hAnsiTheme="minorEastAsia" w:hint="eastAsia"/>
          <w:sz w:val="22"/>
        </w:rPr>
        <w:t>(13.6</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は、全国と同率で</w:t>
      </w:r>
      <w:r>
        <w:rPr>
          <w:rFonts w:asciiTheme="minorEastAsia" w:hAnsiTheme="minorEastAsia" w:hint="eastAsia"/>
          <w:sz w:val="22"/>
        </w:rPr>
        <w:t>33</w:t>
      </w:r>
      <w:r>
        <w:rPr>
          <w:rFonts w:asciiTheme="minorEastAsia" w:hAnsiTheme="minorEastAsia" w:hint="eastAsia"/>
          <w:sz w:val="22"/>
        </w:rPr>
        <w:t>番目となっている。</w:t>
      </w:r>
    </w:p>
    <w:p w14:paraId="59A2D9EC" w14:textId="77777777" w:rsidR="00086DAA" w:rsidRDefault="00086DAA">
      <w:pPr>
        <w:jc w:val="left"/>
        <w:rPr>
          <w:rFonts w:asciiTheme="minorEastAsia" w:hAnsiTheme="minorEastAsia"/>
          <w:sz w:val="22"/>
        </w:rPr>
      </w:pPr>
    </w:p>
    <w:p w14:paraId="578F229A" w14:textId="77777777" w:rsidR="00086DAA" w:rsidRDefault="005541F6">
      <w:pPr>
        <w:ind w:left="221" w:hangingChars="118" w:hanging="221"/>
        <w:jc w:val="left"/>
        <w:rPr>
          <w:rFonts w:asciiTheme="majorEastAsia" w:eastAsiaTheme="majorEastAsia" w:hAnsiTheme="majorEastAsia"/>
          <w:sz w:val="24"/>
        </w:rPr>
      </w:pPr>
      <w:r>
        <w:rPr>
          <w:noProof/>
          <w:sz w:val="20"/>
        </w:rPr>
        <w:drawing>
          <wp:anchor distT="0" distB="0" distL="114300" distR="114300" simplePos="0" relativeHeight="17" behindDoc="0" locked="0" layoutInCell="1" hidden="0" allowOverlap="1" wp14:anchorId="72D8AA23" wp14:editId="6A86D0ED">
            <wp:simplePos x="0" y="0"/>
            <wp:positionH relativeFrom="column">
              <wp:posOffset>-635</wp:posOffset>
            </wp:positionH>
            <wp:positionV relativeFrom="paragraph">
              <wp:posOffset>167640</wp:posOffset>
            </wp:positionV>
            <wp:extent cx="6263640" cy="2609850"/>
            <wp:effectExtent l="0" t="0" r="3810" b="0"/>
            <wp:wrapSquare wrapText="bothSides"/>
            <wp:docPr id="105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292F4F0E" w14:textId="77777777" w:rsidR="00086DAA" w:rsidRDefault="005541F6">
      <w:pPr>
        <w:widowControl/>
        <w:jc w:val="left"/>
        <w:rPr>
          <w:rFonts w:asciiTheme="majorEastAsia" w:eastAsiaTheme="majorEastAsia" w:hAnsiTheme="majorEastAsia"/>
          <w:sz w:val="24"/>
        </w:rPr>
      </w:pPr>
      <w:r>
        <w:rPr>
          <w:rFonts w:asciiTheme="majorEastAsia" w:eastAsiaTheme="majorEastAsia" w:hAnsiTheme="majorEastAsia"/>
          <w:sz w:val="24"/>
        </w:rPr>
        <w:br w:type="page"/>
      </w:r>
    </w:p>
    <w:p w14:paraId="16F88F26" w14:textId="77777777" w:rsidR="00086DAA" w:rsidRDefault="005541F6">
      <w:pPr>
        <w:ind w:left="317" w:hangingChars="118" w:hanging="317"/>
        <w:jc w:val="left"/>
        <w:rPr>
          <w:rFonts w:asciiTheme="majorEastAsia" w:eastAsiaTheme="majorEastAsia" w:hAnsiTheme="majorEastAsia"/>
          <w:b/>
          <w:sz w:val="24"/>
        </w:rPr>
      </w:pPr>
      <w:r>
        <w:rPr>
          <w:rFonts w:asciiTheme="majorEastAsia" w:eastAsiaTheme="majorEastAsia" w:hAnsiTheme="majorEastAsia" w:hint="eastAsia"/>
          <w:b/>
          <w:sz w:val="28"/>
        </w:rPr>
        <w:lastRenderedPageBreak/>
        <w:t>Ⅱ　住宅の状況</w:t>
      </w:r>
    </w:p>
    <w:p w14:paraId="58986E15" w14:textId="77777777" w:rsidR="00086DAA" w:rsidRDefault="005541F6">
      <w:pPr>
        <w:spacing w:line="276" w:lineRule="auto"/>
        <w:ind w:leftChars="72" w:left="142" w:firstLineChars="124" w:firstLine="283"/>
        <w:jc w:val="left"/>
        <w:rPr>
          <w:rFonts w:asciiTheme="majorEastAsia" w:eastAsiaTheme="majorEastAsia" w:hAnsiTheme="majorEastAsia"/>
          <w:b/>
          <w:sz w:val="24"/>
        </w:rPr>
      </w:pPr>
      <w:r>
        <w:rPr>
          <w:rFonts w:asciiTheme="majorEastAsia" w:eastAsiaTheme="majorEastAsia" w:hAnsiTheme="majorEastAsia" w:hint="eastAsia"/>
          <w:b/>
          <w:sz w:val="24"/>
        </w:rPr>
        <w:t>ここでは、住宅の中でも「居住世帯のある住宅」（以下「住宅」という。）</w:t>
      </w:r>
      <w:r>
        <w:rPr>
          <w:rFonts w:asciiTheme="majorEastAsia" w:eastAsiaTheme="majorEastAsia" w:hAnsiTheme="majorEastAsia" w:hint="eastAsia"/>
          <w:b/>
          <w:sz w:val="24"/>
        </w:rPr>
        <w:t>383,800</w:t>
      </w:r>
      <w:r>
        <w:rPr>
          <w:rFonts w:asciiTheme="majorEastAsia" w:eastAsiaTheme="majorEastAsia" w:hAnsiTheme="majorEastAsia" w:hint="eastAsia"/>
          <w:b/>
          <w:sz w:val="24"/>
        </w:rPr>
        <w:t>戸について、住宅の状況をみることにする。</w:t>
      </w:r>
    </w:p>
    <w:p w14:paraId="6AC40E31" w14:textId="77777777" w:rsidR="00086DAA" w:rsidRDefault="00086DAA">
      <w:pPr>
        <w:jc w:val="left"/>
        <w:rPr>
          <w:rFonts w:asciiTheme="majorEastAsia" w:eastAsiaTheme="majorEastAsia" w:hAnsiTheme="majorEastAsia"/>
          <w:b/>
          <w:sz w:val="24"/>
        </w:rPr>
      </w:pPr>
    </w:p>
    <w:p w14:paraId="7E616396" w14:textId="77777777" w:rsidR="00086DAA" w:rsidRDefault="005541F6">
      <w:pPr>
        <w:jc w:val="left"/>
        <w:rPr>
          <w:rFonts w:asciiTheme="majorEastAsia" w:eastAsiaTheme="majorEastAsia" w:hAnsiTheme="majorEastAsia"/>
          <w:b/>
          <w:sz w:val="26"/>
        </w:rPr>
      </w:pPr>
      <w:r>
        <w:rPr>
          <w:rFonts w:asciiTheme="majorEastAsia" w:eastAsiaTheme="majorEastAsia" w:hAnsiTheme="majorEastAsia" w:hint="eastAsia"/>
          <w:b/>
          <w:sz w:val="26"/>
        </w:rPr>
        <w:t>１　住宅の種類</w:t>
      </w:r>
    </w:p>
    <w:p w14:paraId="79366002"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県内の住宅</w:t>
      </w:r>
      <w:r>
        <w:rPr>
          <w:rFonts w:asciiTheme="minorEastAsia" w:hAnsiTheme="minorEastAsia" w:hint="eastAsia"/>
          <w:sz w:val="22"/>
        </w:rPr>
        <w:t>383,800</w:t>
      </w:r>
      <w:r>
        <w:rPr>
          <w:rFonts w:asciiTheme="minorEastAsia" w:hAnsiTheme="minorEastAsia" w:hint="eastAsia"/>
          <w:sz w:val="22"/>
        </w:rPr>
        <w:t>戸について住宅の種類別にみると、居住専用の住宅（「専用住宅」）が</w:t>
      </w:r>
      <w:r>
        <w:rPr>
          <w:rFonts w:asciiTheme="minorEastAsia" w:hAnsiTheme="minorEastAsia" w:hint="eastAsia"/>
          <w:sz w:val="22"/>
        </w:rPr>
        <w:t>371,800</w:t>
      </w:r>
      <w:r>
        <w:rPr>
          <w:rFonts w:asciiTheme="minorEastAsia" w:hAnsiTheme="minorEastAsia" w:hint="eastAsia"/>
          <w:sz w:val="22"/>
        </w:rPr>
        <w:t>戸で住宅に占める割合は</w:t>
      </w:r>
      <w:r>
        <w:rPr>
          <w:rFonts w:asciiTheme="minorEastAsia" w:hAnsiTheme="minorEastAsia" w:hint="eastAsia"/>
          <w:sz w:val="22"/>
        </w:rPr>
        <w:t>96.9</w:t>
      </w:r>
      <w:r>
        <w:rPr>
          <w:rFonts w:asciiTheme="minorEastAsia" w:hAnsiTheme="minorEastAsia" w:hint="eastAsia"/>
          <w:sz w:val="22"/>
        </w:rPr>
        <w:t>％、居住部分が農林漁業や店舗等の事業用の部分と結合している住宅（「店舗その他の併用住宅」）が</w:t>
      </w:r>
      <w:r>
        <w:rPr>
          <w:rFonts w:asciiTheme="minorEastAsia" w:hAnsiTheme="minorEastAsia" w:hint="eastAsia"/>
          <w:sz w:val="22"/>
        </w:rPr>
        <w:t>12,000</w:t>
      </w:r>
      <w:r>
        <w:rPr>
          <w:rFonts w:asciiTheme="minorEastAsia" w:hAnsiTheme="minorEastAsia" w:hint="eastAsia"/>
          <w:sz w:val="22"/>
        </w:rPr>
        <w:t>戸で住宅に占める割</w:t>
      </w:r>
      <w:r>
        <w:rPr>
          <w:rFonts w:asciiTheme="minorEastAsia" w:hAnsiTheme="minorEastAsia" w:hint="eastAsia"/>
          <w:sz w:val="22"/>
        </w:rPr>
        <w:t>合は</w:t>
      </w:r>
      <w:r>
        <w:rPr>
          <w:rFonts w:asciiTheme="minorEastAsia" w:hAnsiTheme="minorEastAsia" w:hint="eastAsia"/>
          <w:sz w:val="22"/>
        </w:rPr>
        <w:t>3.1</w:t>
      </w:r>
      <w:r>
        <w:rPr>
          <w:rFonts w:asciiTheme="minorEastAsia" w:hAnsiTheme="minorEastAsia" w:hint="eastAsia"/>
          <w:sz w:val="22"/>
        </w:rPr>
        <w:t>％となっている。</w:t>
      </w:r>
    </w:p>
    <w:p w14:paraId="360E29EF"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昭和</w:t>
      </w:r>
      <w:r>
        <w:rPr>
          <w:rFonts w:asciiTheme="minorEastAsia" w:hAnsiTheme="minorEastAsia" w:hint="eastAsia"/>
          <w:sz w:val="22"/>
        </w:rPr>
        <w:t>63</w:t>
      </w:r>
      <w:r>
        <w:rPr>
          <w:rFonts w:asciiTheme="minorEastAsia" w:hAnsiTheme="minorEastAsia" w:hint="eastAsia"/>
          <w:sz w:val="22"/>
        </w:rPr>
        <w:t>年は「専用住宅」が</w:t>
      </w:r>
      <w:r>
        <w:rPr>
          <w:rFonts w:asciiTheme="minorEastAsia" w:hAnsiTheme="minorEastAsia" w:hint="eastAsia"/>
          <w:sz w:val="22"/>
        </w:rPr>
        <w:t>91.0</w:t>
      </w:r>
      <w:r>
        <w:rPr>
          <w:rFonts w:asciiTheme="minorEastAsia" w:hAnsiTheme="minorEastAsia" w:hint="eastAsia"/>
          <w:sz w:val="22"/>
        </w:rPr>
        <w:t>％、「店舗その他の併用住宅」と「農林漁業併用住宅」の合計が</w:t>
      </w:r>
      <w:r>
        <w:rPr>
          <w:rFonts w:asciiTheme="minorEastAsia" w:hAnsiTheme="minorEastAsia" w:hint="eastAsia"/>
          <w:sz w:val="22"/>
        </w:rPr>
        <w:t>9.0</w:t>
      </w:r>
      <w:r>
        <w:rPr>
          <w:rFonts w:asciiTheme="minorEastAsia" w:hAnsiTheme="minorEastAsia" w:hint="eastAsia"/>
          <w:sz w:val="22"/>
        </w:rPr>
        <w:t>％となっていたが、「専用住宅」の割合が徐々に上昇していき、平成</w:t>
      </w:r>
      <w:r>
        <w:rPr>
          <w:rFonts w:asciiTheme="minorEastAsia" w:hAnsiTheme="minorEastAsia" w:hint="eastAsia"/>
          <w:sz w:val="22"/>
        </w:rPr>
        <w:t>30</w:t>
      </w:r>
      <w:r>
        <w:rPr>
          <w:rFonts w:asciiTheme="minorEastAsia" w:hAnsiTheme="minorEastAsia" w:hint="eastAsia"/>
          <w:sz w:val="22"/>
        </w:rPr>
        <w:t>年は住宅のほとんどを占めるようになった。</w:t>
      </w:r>
    </w:p>
    <w:p w14:paraId="586B7D61"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また、秋田県の住宅の種類別割合を全国と比較すると、「専用住宅」の割合は全国より</w:t>
      </w:r>
      <w:r>
        <w:rPr>
          <w:rFonts w:asciiTheme="minorEastAsia" w:hAnsiTheme="minorEastAsia" w:hint="eastAsia"/>
          <w:sz w:val="22"/>
        </w:rPr>
        <w:t>1.3</w:t>
      </w:r>
      <w:r>
        <w:rPr>
          <w:rFonts w:asciiTheme="minorEastAsia" w:hAnsiTheme="minorEastAsia" w:hint="eastAsia"/>
          <w:sz w:val="22"/>
        </w:rPr>
        <w:t>ポイント低く、その一方で「店舗その他の併用住宅」の割合は全国より</w:t>
      </w:r>
      <w:r>
        <w:rPr>
          <w:rFonts w:asciiTheme="minorEastAsia" w:hAnsiTheme="minorEastAsia" w:hint="eastAsia"/>
          <w:sz w:val="22"/>
        </w:rPr>
        <w:t>1.3</w:t>
      </w:r>
      <w:r>
        <w:rPr>
          <w:rFonts w:asciiTheme="minorEastAsia" w:hAnsiTheme="minorEastAsia" w:hint="eastAsia"/>
          <w:sz w:val="22"/>
        </w:rPr>
        <w:t>ポイント高くなっている。</w:t>
      </w:r>
    </w:p>
    <w:p w14:paraId="2EB5DDFD" w14:textId="44C44DE9" w:rsidR="00086DAA" w:rsidRDefault="005541F6">
      <w:pPr>
        <w:jc w:val="center"/>
        <w:rPr>
          <w:rFonts w:asciiTheme="minorEastAsia" w:hAnsiTheme="minorEastAsia"/>
          <w:sz w:val="24"/>
        </w:rPr>
      </w:pPr>
      <w:r>
        <w:rPr>
          <w:rFonts w:asciiTheme="minorEastAsia" w:hAnsiTheme="minorEastAsia"/>
          <w:sz w:val="24"/>
        </w:rPr>
        <w:pict w14:anchorId="29D75428">
          <v:shape id="_x0000_i1129" type="#_x0000_t75" style="width:453.6pt;height:208.8pt">
            <v:imagedata r:id="rId32" o:title=""/>
          </v:shape>
        </w:pict>
      </w:r>
    </w:p>
    <w:p w14:paraId="1211EE08" w14:textId="77777777" w:rsidR="00086DAA" w:rsidRDefault="00086DAA">
      <w:pPr>
        <w:jc w:val="left"/>
        <w:rPr>
          <w:rFonts w:asciiTheme="minorEastAsia" w:hAnsiTheme="minorEastAsia"/>
          <w:sz w:val="24"/>
        </w:rPr>
      </w:pPr>
    </w:p>
    <w:p w14:paraId="54E56872" w14:textId="77777777" w:rsidR="00086DAA" w:rsidRDefault="005541F6">
      <w:pPr>
        <w:jc w:val="center"/>
        <w:rPr>
          <w:rFonts w:asciiTheme="minorEastAsia" w:hAnsiTheme="minorEastAsia"/>
          <w:sz w:val="24"/>
        </w:rPr>
      </w:pPr>
      <w:r>
        <w:rPr>
          <w:noProof/>
        </w:rPr>
        <w:drawing>
          <wp:inline distT="0" distB="0" distL="0" distR="0" wp14:anchorId="5536777C" wp14:editId="0804DED1">
            <wp:extent cx="2815590" cy="2714625"/>
            <wp:effectExtent l="0" t="0" r="3810" b="9525"/>
            <wp:docPr id="1057"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noProof/>
        </w:rPr>
        <w:drawing>
          <wp:inline distT="0" distB="0" distL="0" distR="0" wp14:anchorId="0877C507" wp14:editId="07DB483E">
            <wp:extent cx="2832735" cy="2714625"/>
            <wp:effectExtent l="0" t="0" r="5715" b="9525"/>
            <wp:docPr id="105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FE4B873"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04850838" w14:textId="77777777" w:rsidR="00086DAA" w:rsidRDefault="005541F6">
      <w:pPr>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２　住宅の建て方・構造</w:t>
      </w:r>
    </w:p>
    <w:p w14:paraId="7E990A4E" w14:textId="77777777" w:rsidR="00086DAA" w:rsidRDefault="005541F6">
      <w:pPr>
        <w:pStyle w:val="ab"/>
        <w:numPr>
          <w:ilvl w:val="0"/>
          <w:numId w:val="5"/>
        </w:numPr>
        <w:ind w:leftChars="0"/>
        <w:jc w:val="left"/>
        <w:rPr>
          <w:rFonts w:asciiTheme="majorEastAsia" w:eastAsiaTheme="majorEastAsia" w:hAnsiTheme="majorEastAsia"/>
          <w:b/>
          <w:sz w:val="24"/>
        </w:rPr>
      </w:pPr>
      <w:r>
        <w:rPr>
          <w:rFonts w:asciiTheme="majorEastAsia" w:eastAsiaTheme="majorEastAsia" w:hAnsiTheme="majorEastAsia" w:hint="eastAsia"/>
          <w:b/>
          <w:sz w:val="24"/>
        </w:rPr>
        <w:t>住宅の建て方</w:t>
      </w:r>
    </w:p>
    <w:p w14:paraId="502D5ADB"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年の住宅の状況を建て方別にみると、一戸建が</w:t>
      </w:r>
      <w:r>
        <w:rPr>
          <w:rFonts w:asciiTheme="minorEastAsia" w:hAnsiTheme="minorEastAsia" w:hint="eastAsia"/>
          <w:sz w:val="22"/>
        </w:rPr>
        <w:t>306,200</w:t>
      </w:r>
      <w:r>
        <w:rPr>
          <w:rFonts w:asciiTheme="minorEastAsia" w:hAnsiTheme="minorEastAsia" w:hint="eastAsia"/>
          <w:sz w:val="22"/>
        </w:rPr>
        <w:t>戸で住宅全体の</w:t>
      </w:r>
      <w:r>
        <w:rPr>
          <w:rFonts w:asciiTheme="minorEastAsia" w:hAnsiTheme="minorEastAsia" w:hint="eastAsia"/>
          <w:sz w:val="22"/>
        </w:rPr>
        <w:t>79.8</w:t>
      </w:r>
      <w:r>
        <w:rPr>
          <w:rFonts w:asciiTheme="minorEastAsia" w:hAnsiTheme="minorEastAsia" w:hint="eastAsia"/>
          <w:sz w:val="22"/>
        </w:rPr>
        <w:t>％を占め最も多く、次いで共同住宅が</w:t>
      </w:r>
      <w:r>
        <w:rPr>
          <w:rFonts w:asciiTheme="minorEastAsia" w:hAnsiTheme="minorEastAsia" w:hint="eastAsia"/>
          <w:sz w:val="22"/>
        </w:rPr>
        <w:t>68,200</w:t>
      </w:r>
      <w:r>
        <w:rPr>
          <w:rFonts w:asciiTheme="minorEastAsia" w:hAnsiTheme="minorEastAsia" w:hint="eastAsia"/>
          <w:sz w:val="22"/>
        </w:rPr>
        <w:t>戸で</w:t>
      </w:r>
      <w:r>
        <w:rPr>
          <w:rFonts w:asciiTheme="minorEastAsia" w:hAnsiTheme="minorEastAsia" w:hint="eastAsia"/>
          <w:sz w:val="22"/>
        </w:rPr>
        <w:t>17.8</w:t>
      </w:r>
      <w:r>
        <w:rPr>
          <w:rFonts w:asciiTheme="minorEastAsia" w:hAnsiTheme="minorEastAsia" w:hint="eastAsia"/>
          <w:sz w:val="22"/>
        </w:rPr>
        <w:t>％、長屋建が</w:t>
      </w:r>
      <w:r>
        <w:rPr>
          <w:rFonts w:asciiTheme="minorEastAsia" w:hAnsiTheme="minorEastAsia" w:hint="eastAsia"/>
          <w:sz w:val="22"/>
        </w:rPr>
        <w:t>8,700</w:t>
      </w:r>
      <w:r>
        <w:rPr>
          <w:rFonts w:asciiTheme="minorEastAsia" w:hAnsiTheme="minorEastAsia" w:hint="eastAsia"/>
          <w:sz w:val="22"/>
        </w:rPr>
        <w:t>戸で</w:t>
      </w:r>
      <w:r>
        <w:rPr>
          <w:rFonts w:asciiTheme="minorEastAsia" w:hAnsiTheme="minorEastAsia" w:hint="eastAsia"/>
          <w:sz w:val="22"/>
        </w:rPr>
        <w:t>2.3</w:t>
      </w:r>
      <w:r>
        <w:rPr>
          <w:rFonts w:asciiTheme="minorEastAsia" w:hAnsiTheme="minorEastAsia" w:hint="eastAsia"/>
          <w:sz w:val="22"/>
        </w:rPr>
        <w:t>％、その他が</w:t>
      </w:r>
      <w:r>
        <w:rPr>
          <w:rFonts w:asciiTheme="minorEastAsia" w:hAnsiTheme="minorEastAsia" w:hint="eastAsia"/>
          <w:sz w:val="22"/>
        </w:rPr>
        <w:t>700</w:t>
      </w:r>
      <w:r>
        <w:rPr>
          <w:rFonts w:asciiTheme="minorEastAsia" w:hAnsiTheme="minorEastAsia" w:hint="eastAsia"/>
          <w:sz w:val="22"/>
        </w:rPr>
        <w:t>戸で</w:t>
      </w:r>
      <w:r>
        <w:rPr>
          <w:rFonts w:asciiTheme="minorEastAsia" w:hAnsiTheme="minorEastAsia" w:hint="eastAsia"/>
          <w:sz w:val="22"/>
        </w:rPr>
        <w:t>0.2</w:t>
      </w:r>
      <w:r>
        <w:rPr>
          <w:rFonts w:asciiTheme="minorEastAsia" w:hAnsiTheme="minorEastAsia" w:hint="eastAsia"/>
          <w:sz w:val="22"/>
        </w:rPr>
        <w:t>％となっている。</w:t>
      </w:r>
    </w:p>
    <w:p w14:paraId="77035B99"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建て方別住宅数の推移をみると、長屋建は減少傾向にあるが一戸建と共同住宅は増加傾向にある。このうち、共同住宅は昭和</w:t>
      </w:r>
      <w:r>
        <w:rPr>
          <w:rFonts w:asciiTheme="minorEastAsia" w:hAnsiTheme="minorEastAsia" w:hint="eastAsia"/>
          <w:sz w:val="22"/>
        </w:rPr>
        <w:t>63</w:t>
      </w:r>
      <w:r>
        <w:rPr>
          <w:rFonts w:asciiTheme="minorEastAsia" w:hAnsiTheme="minorEastAsia" w:hint="eastAsia"/>
          <w:sz w:val="22"/>
        </w:rPr>
        <w:t>年から平成</w:t>
      </w:r>
      <w:r>
        <w:rPr>
          <w:rFonts w:asciiTheme="minorEastAsia" w:hAnsiTheme="minorEastAsia" w:hint="eastAsia"/>
          <w:sz w:val="22"/>
        </w:rPr>
        <w:t>30</w:t>
      </w:r>
      <w:r>
        <w:rPr>
          <w:rFonts w:asciiTheme="minorEastAsia" w:hAnsiTheme="minorEastAsia" w:hint="eastAsia"/>
          <w:sz w:val="22"/>
        </w:rPr>
        <w:t>年までの</w:t>
      </w:r>
      <w:r>
        <w:rPr>
          <w:rFonts w:asciiTheme="minorEastAsia" w:hAnsiTheme="minorEastAsia" w:hint="eastAsia"/>
          <w:sz w:val="22"/>
        </w:rPr>
        <w:t>30</w:t>
      </w:r>
      <w:r>
        <w:rPr>
          <w:rFonts w:asciiTheme="minorEastAsia" w:hAnsiTheme="minorEastAsia" w:hint="eastAsia"/>
          <w:sz w:val="22"/>
        </w:rPr>
        <w:t>年間で</w:t>
      </w:r>
      <w:r>
        <w:rPr>
          <w:rFonts w:asciiTheme="minorEastAsia" w:hAnsiTheme="minorEastAsia" w:hint="eastAsia"/>
          <w:sz w:val="22"/>
        </w:rPr>
        <w:t>2</w:t>
      </w:r>
      <w:r>
        <w:rPr>
          <w:rFonts w:asciiTheme="minorEastAsia" w:hAnsiTheme="minorEastAsia" w:hint="eastAsia"/>
          <w:sz w:val="22"/>
        </w:rPr>
        <w:t>倍以上に増加している。また、住宅の建て方別割合の推移をみると、一戸建及び長屋建は減少傾向にあるがその一方で共同住宅は増加傾向にあり、平成</w:t>
      </w:r>
      <w:r>
        <w:rPr>
          <w:rFonts w:asciiTheme="minorEastAsia" w:hAnsiTheme="minorEastAsia" w:hint="eastAsia"/>
          <w:sz w:val="22"/>
        </w:rPr>
        <w:t>30</w:t>
      </w:r>
      <w:r>
        <w:rPr>
          <w:rFonts w:asciiTheme="minorEastAsia" w:hAnsiTheme="minorEastAsia" w:hint="eastAsia"/>
          <w:sz w:val="22"/>
        </w:rPr>
        <w:t>年の共同</w:t>
      </w:r>
      <w:r>
        <w:rPr>
          <w:rFonts w:asciiTheme="minorEastAsia" w:hAnsiTheme="minorEastAsia" w:hint="eastAsia"/>
          <w:sz w:val="22"/>
        </w:rPr>
        <w:t>住宅の建て方別割合は</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0.6</w:t>
      </w:r>
      <w:r>
        <w:rPr>
          <w:rFonts w:asciiTheme="minorEastAsia" w:hAnsiTheme="minorEastAsia" w:hint="eastAsia"/>
          <w:sz w:val="22"/>
        </w:rPr>
        <w:t>ポイント上昇している。</w:t>
      </w:r>
    </w:p>
    <w:p w14:paraId="56DDE6D4"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なお、秋田県と全国の建て方別割合を比較すると、一戸建率（総住宅数に占める一戸建の割合）は秋田県が全国を</w:t>
      </w:r>
      <w:r>
        <w:rPr>
          <w:rFonts w:asciiTheme="minorEastAsia" w:hAnsiTheme="minorEastAsia" w:hint="eastAsia"/>
          <w:sz w:val="22"/>
        </w:rPr>
        <w:t>26.2</w:t>
      </w:r>
      <w:r>
        <w:rPr>
          <w:rFonts w:asciiTheme="minorEastAsia" w:hAnsiTheme="minorEastAsia" w:hint="eastAsia"/>
          <w:sz w:val="22"/>
        </w:rPr>
        <w:t>ポイント上回っているが、共同住宅率（総住宅数に占める共同住宅の割合）は秋田県が全国より</w:t>
      </w:r>
      <w:r>
        <w:rPr>
          <w:rFonts w:asciiTheme="minorEastAsia" w:hAnsiTheme="minorEastAsia" w:hint="eastAsia"/>
          <w:sz w:val="22"/>
        </w:rPr>
        <w:t>25.8</w:t>
      </w:r>
      <w:r>
        <w:rPr>
          <w:rFonts w:asciiTheme="minorEastAsia" w:hAnsiTheme="minorEastAsia" w:hint="eastAsia"/>
          <w:sz w:val="22"/>
        </w:rPr>
        <w:t>ポイント下回っている。</w:t>
      </w:r>
    </w:p>
    <w:p w14:paraId="19ED42BD" w14:textId="77777777" w:rsidR="00086DAA" w:rsidRDefault="005541F6">
      <w:pPr>
        <w:jc w:val="center"/>
        <w:rPr>
          <w:rFonts w:asciiTheme="minorEastAsia" w:hAnsiTheme="minorEastAsia"/>
          <w:sz w:val="24"/>
        </w:rPr>
      </w:pPr>
      <w:hyperlink r:id="rId35" w:history="1">
        <w:r>
          <w:rPr>
            <w:rFonts w:asciiTheme="minorEastAsia" w:hAnsiTheme="minorEastAsia"/>
            <w:sz w:val="24"/>
          </w:rPr>
          <w:object w:dxaOrig="10545" w:dyaOrig="4260" w14:anchorId="04D677B6">
            <v:shape id="_x0000_i1031" type="#_x0000_t75" style="width:453.6pt;height:180pt" o:ole="">
              <v:imagedata r:id="rId36" o:title=""/>
            </v:shape>
            <o:OLEObject Type="Embed" ProgID="Excel.Sheet.12" ShapeID="_x0000_i1031" DrawAspect="Content" ObjectID="_1739084495" r:id="rId37"/>
          </w:object>
        </w:r>
      </w:hyperlink>
    </w:p>
    <w:p w14:paraId="3E25F978" w14:textId="77777777" w:rsidR="00086DAA" w:rsidRDefault="00086DAA">
      <w:pPr>
        <w:jc w:val="left"/>
        <w:rPr>
          <w:rFonts w:asciiTheme="minorEastAsia" w:hAnsiTheme="minorEastAsia"/>
          <w:sz w:val="24"/>
        </w:rPr>
      </w:pPr>
    </w:p>
    <w:p w14:paraId="51E03BE5" w14:textId="77777777" w:rsidR="00086DAA" w:rsidRDefault="005541F6">
      <w:pPr>
        <w:jc w:val="center"/>
        <w:rPr>
          <w:rFonts w:asciiTheme="minorEastAsia" w:hAnsiTheme="minorEastAsia"/>
          <w:sz w:val="24"/>
        </w:rPr>
      </w:pPr>
      <w:r>
        <w:rPr>
          <w:noProof/>
        </w:rPr>
        <w:drawing>
          <wp:inline distT="0" distB="0" distL="0" distR="0" wp14:anchorId="32BB3232" wp14:editId="7BAA4FD6">
            <wp:extent cx="5934075" cy="3209925"/>
            <wp:effectExtent l="0" t="0" r="9525" b="9525"/>
            <wp:docPr id="106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266AF16"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5857B23D"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lastRenderedPageBreak/>
        <w:t>平成</w:t>
      </w:r>
      <w:r>
        <w:rPr>
          <w:rFonts w:asciiTheme="minorEastAsia" w:hAnsiTheme="minorEastAsia" w:hint="eastAsia"/>
          <w:sz w:val="22"/>
        </w:rPr>
        <w:t>30</w:t>
      </w:r>
      <w:r>
        <w:rPr>
          <w:rFonts w:asciiTheme="minorEastAsia" w:hAnsiTheme="minorEastAsia" w:hint="eastAsia"/>
          <w:sz w:val="22"/>
        </w:rPr>
        <w:t>年の一戸建</w:t>
      </w:r>
      <w:r>
        <w:rPr>
          <w:rFonts w:asciiTheme="minorEastAsia" w:hAnsiTheme="minorEastAsia" w:hint="eastAsia"/>
          <w:sz w:val="22"/>
        </w:rPr>
        <w:t>率（住宅全体に占める一戸建の割合）及び共同住宅率（住宅全体に占める共同住宅の割合）を都道府県別にみると、一戸建率は秋田県が</w:t>
      </w:r>
      <w:r>
        <w:rPr>
          <w:rFonts w:asciiTheme="minorEastAsia" w:hAnsiTheme="minorEastAsia" w:hint="eastAsia"/>
          <w:sz w:val="22"/>
        </w:rPr>
        <w:t>81.0</w:t>
      </w:r>
      <w:r>
        <w:rPr>
          <w:rFonts w:asciiTheme="minorEastAsia" w:hAnsiTheme="minorEastAsia" w:hint="eastAsia"/>
          <w:sz w:val="22"/>
        </w:rPr>
        <w:t>％で最も高く、次いで山形県の</w:t>
      </w:r>
      <w:r>
        <w:rPr>
          <w:rFonts w:asciiTheme="minorEastAsia" w:hAnsiTheme="minorEastAsia" w:hint="eastAsia"/>
          <w:sz w:val="22"/>
        </w:rPr>
        <w:t>79.8</w:t>
      </w:r>
      <w:r>
        <w:rPr>
          <w:rFonts w:asciiTheme="minorEastAsia" w:hAnsiTheme="minorEastAsia" w:hint="eastAsia"/>
          <w:sz w:val="22"/>
        </w:rPr>
        <w:t>％、富山県の</w:t>
      </w:r>
      <w:r>
        <w:rPr>
          <w:rFonts w:asciiTheme="minorEastAsia" w:hAnsiTheme="minorEastAsia" w:hint="eastAsia"/>
          <w:sz w:val="22"/>
        </w:rPr>
        <w:t>79.7</w:t>
      </w:r>
      <w:r>
        <w:rPr>
          <w:rFonts w:asciiTheme="minorEastAsia" w:hAnsiTheme="minorEastAsia" w:hint="eastAsia"/>
          <w:sz w:val="22"/>
        </w:rPr>
        <w:t>％などとなっていて、東京都が</w:t>
      </w:r>
      <w:r>
        <w:rPr>
          <w:rFonts w:asciiTheme="minorEastAsia" w:hAnsiTheme="minorEastAsia" w:hint="eastAsia"/>
          <w:sz w:val="22"/>
        </w:rPr>
        <w:t>26.8</w:t>
      </w:r>
      <w:r>
        <w:rPr>
          <w:rFonts w:asciiTheme="minorEastAsia" w:hAnsiTheme="minorEastAsia" w:hint="eastAsia"/>
          <w:sz w:val="22"/>
        </w:rPr>
        <w:t>％で最も低くなっている。</w:t>
      </w:r>
    </w:p>
    <w:p w14:paraId="375DA06F"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一方、共同住宅率は東京都が</w:t>
      </w:r>
      <w:r>
        <w:rPr>
          <w:rFonts w:asciiTheme="minorEastAsia" w:hAnsiTheme="minorEastAsia" w:hint="eastAsia"/>
          <w:sz w:val="22"/>
        </w:rPr>
        <w:t>71.1</w:t>
      </w:r>
      <w:r>
        <w:rPr>
          <w:rFonts w:asciiTheme="minorEastAsia" w:hAnsiTheme="minorEastAsia" w:hint="eastAsia"/>
          <w:sz w:val="22"/>
        </w:rPr>
        <w:t>％で最も高く、次いで沖縄県が</w:t>
      </w:r>
      <w:r>
        <w:rPr>
          <w:rFonts w:asciiTheme="minorEastAsia" w:hAnsiTheme="minorEastAsia" w:hint="eastAsia"/>
          <w:sz w:val="22"/>
        </w:rPr>
        <w:t>59.0</w:t>
      </w:r>
      <w:r>
        <w:rPr>
          <w:rFonts w:asciiTheme="minorEastAsia" w:hAnsiTheme="minorEastAsia" w:hint="eastAsia"/>
          <w:sz w:val="22"/>
        </w:rPr>
        <w:t>％、神奈川県が</w:t>
      </w:r>
      <w:r>
        <w:rPr>
          <w:rFonts w:asciiTheme="minorEastAsia" w:hAnsiTheme="minorEastAsia" w:hint="eastAsia"/>
          <w:sz w:val="22"/>
        </w:rPr>
        <w:t>56.1%</w:t>
      </w:r>
      <w:r>
        <w:rPr>
          <w:rFonts w:asciiTheme="minorEastAsia" w:hAnsiTheme="minorEastAsia" w:hint="eastAsia"/>
          <w:sz w:val="22"/>
        </w:rPr>
        <w:t>などとなっていて、秋田県は</w:t>
      </w:r>
      <w:r>
        <w:rPr>
          <w:rFonts w:asciiTheme="minorEastAsia" w:hAnsiTheme="minorEastAsia" w:hint="eastAsia"/>
          <w:sz w:val="22"/>
        </w:rPr>
        <w:t>17.8</w:t>
      </w:r>
      <w:r>
        <w:rPr>
          <w:rFonts w:asciiTheme="minorEastAsia" w:hAnsiTheme="minorEastAsia" w:hint="eastAsia"/>
          <w:sz w:val="22"/>
        </w:rPr>
        <w:t>％で最も低くなっている。</w:t>
      </w:r>
    </w:p>
    <w:p w14:paraId="1DE086BC" w14:textId="77777777" w:rsidR="00086DAA" w:rsidRDefault="00086DAA">
      <w:pPr>
        <w:ind w:firstLineChars="125" w:firstLine="284"/>
        <w:jc w:val="left"/>
        <w:rPr>
          <w:rFonts w:asciiTheme="minorEastAsia" w:hAnsiTheme="minorEastAsia"/>
          <w:sz w:val="24"/>
        </w:rPr>
      </w:pPr>
    </w:p>
    <w:p w14:paraId="499DADEB" w14:textId="77777777" w:rsidR="00086DAA" w:rsidRDefault="005541F6">
      <w:pPr>
        <w:jc w:val="center"/>
        <w:rPr>
          <w:rFonts w:asciiTheme="minorEastAsia" w:hAnsiTheme="minorEastAsia"/>
          <w:sz w:val="24"/>
        </w:rPr>
      </w:pPr>
      <w:r>
        <w:rPr>
          <w:noProof/>
        </w:rPr>
        <w:drawing>
          <wp:inline distT="0" distB="0" distL="0" distR="0" wp14:anchorId="4D3FD3B7" wp14:editId="6DC5E754">
            <wp:extent cx="6263640" cy="2781300"/>
            <wp:effectExtent l="0" t="0" r="3810" b="0"/>
            <wp:docPr id="106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125DF1F" w14:textId="77777777" w:rsidR="00086DAA" w:rsidRDefault="00086DAA">
      <w:pPr>
        <w:jc w:val="center"/>
        <w:rPr>
          <w:rFonts w:asciiTheme="minorEastAsia" w:hAnsiTheme="minorEastAsia"/>
          <w:sz w:val="24"/>
        </w:rPr>
      </w:pPr>
    </w:p>
    <w:p w14:paraId="64ED7E6D" w14:textId="77777777" w:rsidR="00086DAA" w:rsidRDefault="005541F6">
      <w:pPr>
        <w:jc w:val="center"/>
        <w:rPr>
          <w:rFonts w:asciiTheme="minorEastAsia" w:hAnsiTheme="minorEastAsia"/>
          <w:sz w:val="24"/>
        </w:rPr>
      </w:pPr>
      <w:r>
        <w:rPr>
          <w:noProof/>
        </w:rPr>
        <w:drawing>
          <wp:inline distT="0" distB="0" distL="0" distR="0" wp14:anchorId="28387AFC" wp14:editId="64F2DE2C">
            <wp:extent cx="6263640" cy="2771775"/>
            <wp:effectExtent l="0" t="0" r="3810" b="9525"/>
            <wp:docPr id="106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6181775"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6548A0A5"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lastRenderedPageBreak/>
        <w:t>近年増加傾向にある共同住宅について平成</w:t>
      </w:r>
      <w:r>
        <w:rPr>
          <w:rFonts w:asciiTheme="minorEastAsia" w:hAnsiTheme="minorEastAsia" w:hint="eastAsia"/>
          <w:sz w:val="22"/>
        </w:rPr>
        <w:t>30</w:t>
      </w:r>
      <w:r>
        <w:rPr>
          <w:rFonts w:asciiTheme="minorEastAsia" w:hAnsiTheme="minorEastAsia" w:hint="eastAsia"/>
          <w:sz w:val="22"/>
        </w:rPr>
        <w:t>年の状況をみると、共同住宅数は</w:t>
      </w:r>
      <w:r>
        <w:rPr>
          <w:rFonts w:asciiTheme="minorEastAsia" w:hAnsiTheme="minorEastAsia" w:hint="eastAsia"/>
          <w:sz w:val="22"/>
        </w:rPr>
        <w:t>25</w:t>
      </w:r>
      <w:r>
        <w:rPr>
          <w:rFonts w:asciiTheme="minorEastAsia" w:hAnsiTheme="minorEastAsia" w:hint="eastAsia"/>
          <w:sz w:val="22"/>
        </w:rPr>
        <w:t>年の前回調査から</w:t>
      </w:r>
      <w:r>
        <w:rPr>
          <w:rFonts w:asciiTheme="minorEastAsia" w:hAnsiTheme="minorEastAsia" w:hint="eastAsia"/>
          <w:sz w:val="22"/>
        </w:rPr>
        <w:t>1,100</w:t>
      </w:r>
      <w:r>
        <w:rPr>
          <w:rFonts w:asciiTheme="minorEastAsia" w:hAnsiTheme="minorEastAsia" w:hint="eastAsia"/>
          <w:sz w:val="22"/>
        </w:rPr>
        <w:t>戸増加し</w:t>
      </w:r>
      <w:r>
        <w:rPr>
          <w:rFonts w:asciiTheme="minorEastAsia" w:hAnsiTheme="minorEastAsia" w:hint="eastAsia"/>
          <w:sz w:val="22"/>
        </w:rPr>
        <w:t>68,200</w:t>
      </w:r>
      <w:r>
        <w:rPr>
          <w:rFonts w:asciiTheme="minorEastAsia" w:hAnsiTheme="minorEastAsia" w:hint="eastAsia"/>
          <w:sz w:val="22"/>
        </w:rPr>
        <w:t>戸となった。</w:t>
      </w:r>
    </w:p>
    <w:p w14:paraId="2E47BC2C"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また、平成</w:t>
      </w:r>
      <w:r>
        <w:rPr>
          <w:rFonts w:asciiTheme="minorEastAsia" w:hAnsiTheme="minorEastAsia" w:hint="eastAsia"/>
          <w:sz w:val="22"/>
        </w:rPr>
        <w:t>25</w:t>
      </w:r>
      <w:r>
        <w:rPr>
          <w:rFonts w:asciiTheme="minorEastAsia" w:hAnsiTheme="minorEastAsia" w:hint="eastAsia"/>
          <w:sz w:val="22"/>
        </w:rPr>
        <w:t>年からの共同住宅数を階数</w:t>
      </w:r>
      <w:r>
        <w:rPr>
          <w:rFonts w:asciiTheme="minorEastAsia" w:hAnsiTheme="minorEastAsia" w:hint="eastAsia"/>
          <w:sz w:val="22"/>
        </w:rPr>
        <w:t>(</w:t>
      </w:r>
      <w:r>
        <w:rPr>
          <w:rFonts w:asciiTheme="minorEastAsia" w:hAnsiTheme="minorEastAsia" w:hint="eastAsia"/>
          <w:sz w:val="22"/>
        </w:rPr>
        <w:t>建物全体の階数</w:t>
      </w:r>
      <w:r>
        <w:rPr>
          <w:rFonts w:asciiTheme="minorEastAsia" w:hAnsiTheme="minorEastAsia" w:hint="eastAsia"/>
          <w:sz w:val="22"/>
        </w:rPr>
        <w:t>)</w:t>
      </w:r>
      <w:r>
        <w:rPr>
          <w:rFonts w:asciiTheme="minorEastAsia" w:hAnsiTheme="minorEastAsia" w:hint="eastAsia"/>
          <w:sz w:val="22"/>
        </w:rPr>
        <w:t>別にみると、「１・２階建」は</w:t>
      </w:r>
      <w:r>
        <w:rPr>
          <w:rFonts w:asciiTheme="minorEastAsia" w:hAnsiTheme="minorEastAsia" w:hint="eastAsia"/>
          <w:sz w:val="22"/>
        </w:rPr>
        <w:t>4,700</w:t>
      </w:r>
      <w:r>
        <w:rPr>
          <w:rFonts w:asciiTheme="minorEastAsia" w:hAnsiTheme="minorEastAsia" w:hint="eastAsia"/>
          <w:sz w:val="22"/>
        </w:rPr>
        <w:t>戸増加し</w:t>
      </w:r>
      <w:r>
        <w:rPr>
          <w:rFonts w:asciiTheme="minorEastAsia" w:hAnsiTheme="minorEastAsia" w:hint="eastAsia"/>
          <w:sz w:val="22"/>
        </w:rPr>
        <w:t>47,500</w:t>
      </w:r>
      <w:r>
        <w:rPr>
          <w:rFonts w:asciiTheme="minorEastAsia" w:hAnsiTheme="minorEastAsia" w:hint="eastAsia"/>
          <w:sz w:val="22"/>
        </w:rPr>
        <w:t>戸、「３～５階建」は</w:t>
      </w:r>
      <w:r>
        <w:rPr>
          <w:rFonts w:asciiTheme="minorEastAsia" w:hAnsiTheme="minorEastAsia" w:hint="eastAsia"/>
          <w:sz w:val="22"/>
        </w:rPr>
        <w:t>1,200</w:t>
      </w:r>
      <w:r>
        <w:rPr>
          <w:rFonts w:asciiTheme="minorEastAsia" w:hAnsiTheme="minorEastAsia" w:hint="eastAsia"/>
          <w:sz w:val="22"/>
        </w:rPr>
        <w:t>戸増加し</w:t>
      </w:r>
      <w:r>
        <w:rPr>
          <w:rFonts w:asciiTheme="minorEastAsia" w:hAnsiTheme="minorEastAsia" w:hint="eastAsia"/>
          <w:sz w:val="22"/>
        </w:rPr>
        <w:t>13,900</w:t>
      </w:r>
      <w:r>
        <w:rPr>
          <w:rFonts w:asciiTheme="minorEastAsia" w:hAnsiTheme="minorEastAsia" w:hint="eastAsia"/>
          <w:sz w:val="22"/>
        </w:rPr>
        <w:t>戸となっているが、「６階建以上」は</w:t>
      </w:r>
      <w:r>
        <w:rPr>
          <w:rFonts w:asciiTheme="minorEastAsia" w:hAnsiTheme="minorEastAsia" w:hint="eastAsia"/>
          <w:sz w:val="22"/>
        </w:rPr>
        <w:t>4,900</w:t>
      </w:r>
      <w:r>
        <w:rPr>
          <w:rFonts w:asciiTheme="minorEastAsia" w:hAnsiTheme="minorEastAsia" w:hint="eastAsia"/>
          <w:sz w:val="22"/>
        </w:rPr>
        <w:t>戸減少して</w:t>
      </w:r>
      <w:r>
        <w:rPr>
          <w:rFonts w:asciiTheme="minorEastAsia" w:hAnsiTheme="minorEastAsia" w:hint="eastAsia"/>
          <w:sz w:val="22"/>
        </w:rPr>
        <w:t>6,600</w:t>
      </w:r>
      <w:r>
        <w:rPr>
          <w:rFonts w:asciiTheme="minorEastAsia" w:hAnsiTheme="minorEastAsia" w:hint="eastAsia"/>
          <w:sz w:val="22"/>
        </w:rPr>
        <w:t>戸となっている。</w:t>
      </w:r>
    </w:p>
    <w:p w14:paraId="110AC2D9"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なお、秋田県と全国の階数別共同住宅の割合を比較すると、秋田県では「１・２階建」が</w:t>
      </w:r>
      <w:r>
        <w:rPr>
          <w:rFonts w:asciiTheme="minorEastAsia" w:hAnsiTheme="minorEastAsia" w:hint="eastAsia"/>
          <w:sz w:val="22"/>
        </w:rPr>
        <w:t>69.6</w:t>
      </w:r>
      <w:r>
        <w:rPr>
          <w:rFonts w:asciiTheme="minorEastAsia" w:hAnsiTheme="minorEastAsia" w:hint="eastAsia"/>
          <w:sz w:val="22"/>
        </w:rPr>
        <w:t>％で最も多く、全国より</w:t>
      </w:r>
      <w:r>
        <w:rPr>
          <w:rFonts w:asciiTheme="minorEastAsia" w:hAnsiTheme="minorEastAsia" w:hint="eastAsia"/>
          <w:sz w:val="22"/>
        </w:rPr>
        <w:t>42.9</w:t>
      </w:r>
      <w:r>
        <w:rPr>
          <w:rFonts w:asciiTheme="minorEastAsia" w:hAnsiTheme="minorEastAsia" w:hint="eastAsia"/>
          <w:sz w:val="22"/>
        </w:rPr>
        <w:t>ポイント上回っている。一方、全国では「３～５階建」が</w:t>
      </w:r>
      <w:r>
        <w:rPr>
          <w:rFonts w:asciiTheme="minorEastAsia" w:hAnsiTheme="minorEastAsia" w:hint="eastAsia"/>
          <w:sz w:val="22"/>
        </w:rPr>
        <w:t>3</w:t>
      </w:r>
      <w:r>
        <w:rPr>
          <w:rFonts w:asciiTheme="minorEastAsia" w:hAnsiTheme="minorEastAsia" w:hint="eastAsia"/>
          <w:sz w:val="22"/>
        </w:rPr>
        <w:t>7.9</w:t>
      </w:r>
      <w:r>
        <w:rPr>
          <w:rFonts w:asciiTheme="minorEastAsia" w:hAnsiTheme="minorEastAsia" w:hint="eastAsia"/>
          <w:sz w:val="22"/>
        </w:rPr>
        <w:t>％で最も多く、次いで「６階建以上」が</w:t>
      </w:r>
      <w:r>
        <w:rPr>
          <w:rFonts w:asciiTheme="minorEastAsia" w:hAnsiTheme="minorEastAsia" w:hint="eastAsia"/>
          <w:sz w:val="22"/>
        </w:rPr>
        <w:t>35.4</w:t>
      </w:r>
      <w:r>
        <w:rPr>
          <w:rFonts w:asciiTheme="minorEastAsia" w:hAnsiTheme="minorEastAsia" w:hint="eastAsia"/>
          <w:sz w:val="22"/>
        </w:rPr>
        <w:t>％となっていて、ともに</w:t>
      </w:r>
      <w:r>
        <w:rPr>
          <w:rFonts w:asciiTheme="minorEastAsia" w:hAnsiTheme="minorEastAsia" w:hint="eastAsia"/>
          <w:sz w:val="22"/>
        </w:rPr>
        <w:t>30</w:t>
      </w:r>
      <w:r>
        <w:rPr>
          <w:rFonts w:asciiTheme="minorEastAsia" w:hAnsiTheme="minorEastAsia" w:hint="eastAsia"/>
          <w:sz w:val="22"/>
        </w:rPr>
        <w:t>％を上回っている。</w:t>
      </w:r>
    </w:p>
    <w:p w14:paraId="64E1B0A8" w14:textId="2B892A10" w:rsidR="00086DAA" w:rsidRDefault="005541F6">
      <w:pPr>
        <w:jc w:val="center"/>
        <w:rPr>
          <w:rFonts w:asciiTheme="minorEastAsia" w:hAnsiTheme="minorEastAsia"/>
          <w:sz w:val="24"/>
        </w:rPr>
      </w:pPr>
      <w:r>
        <w:rPr>
          <w:rFonts w:asciiTheme="minorEastAsia" w:hAnsiTheme="minorEastAsia"/>
          <w:sz w:val="24"/>
        </w:rPr>
        <w:pict w14:anchorId="646C586D">
          <v:shape id="_x0000_i1126" type="#_x0000_t75" style="width:468pt;height:194.4pt">
            <v:imagedata r:id="rId41" o:title=""/>
          </v:shape>
        </w:pict>
      </w:r>
    </w:p>
    <w:p w14:paraId="41431537" w14:textId="77777777" w:rsidR="00086DAA" w:rsidRDefault="005541F6">
      <w:pPr>
        <w:jc w:val="center"/>
        <w:rPr>
          <w:rFonts w:asciiTheme="minorEastAsia" w:hAnsiTheme="minorEastAsia"/>
          <w:sz w:val="24"/>
        </w:rPr>
      </w:pPr>
      <w:r>
        <w:rPr>
          <w:noProof/>
        </w:rPr>
        <w:drawing>
          <wp:anchor distT="0" distB="0" distL="114300" distR="114300" simplePos="0" relativeHeight="15" behindDoc="0" locked="0" layoutInCell="1" hidden="0" allowOverlap="1" wp14:anchorId="0A90C857" wp14:editId="0930CD74">
            <wp:simplePos x="0" y="0"/>
            <wp:positionH relativeFrom="column">
              <wp:posOffset>608965</wp:posOffset>
            </wp:positionH>
            <wp:positionV relativeFrom="paragraph">
              <wp:posOffset>46355</wp:posOffset>
            </wp:positionV>
            <wp:extent cx="5039995" cy="2343150"/>
            <wp:effectExtent l="0" t="0" r="8255" b="0"/>
            <wp:wrapSquare wrapText="bothSides"/>
            <wp:docPr id="106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14:paraId="4591C64E" w14:textId="77777777" w:rsidR="00086DAA" w:rsidRDefault="00086DAA">
      <w:pPr>
        <w:jc w:val="center"/>
        <w:rPr>
          <w:rFonts w:asciiTheme="minorEastAsia" w:hAnsiTheme="minorEastAsia"/>
          <w:sz w:val="24"/>
        </w:rPr>
      </w:pPr>
    </w:p>
    <w:p w14:paraId="04718AB0" w14:textId="77777777" w:rsidR="00086DAA" w:rsidRDefault="00086DAA">
      <w:pPr>
        <w:jc w:val="center"/>
        <w:rPr>
          <w:rFonts w:asciiTheme="minorEastAsia" w:hAnsiTheme="minorEastAsia"/>
          <w:sz w:val="24"/>
        </w:rPr>
      </w:pPr>
    </w:p>
    <w:p w14:paraId="12E22814" w14:textId="77777777" w:rsidR="00086DAA" w:rsidRDefault="00086DAA">
      <w:pPr>
        <w:jc w:val="center"/>
        <w:rPr>
          <w:rFonts w:asciiTheme="minorEastAsia" w:hAnsiTheme="minorEastAsia"/>
          <w:sz w:val="24"/>
        </w:rPr>
      </w:pPr>
    </w:p>
    <w:p w14:paraId="09284C34" w14:textId="77777777" w:rsidR="00086DAA" w:rsidRDefault="00086DAA">
      <w:pPr>
        <w:jc w:val="center"/>
        <w:rPr>
          <w:rFonts w:asciiTheme="minorEastAsia" w:hAnsiTheme="minorEastAsia"/>
          <w:sz w:val="24"/>
        </w:rPr>
      </w:pPr>
    </w:p>
    <w:p w14:paraId="6A001E8F" w14:textId="77777777" w:rsidR="00086DAA" w:rsidRDefault="00086DAA">
      <w:pPr>
        <w:jc w:val="center"/>
        <w:rPr>
          <w:rFonts w:asciiTheme="minorEastAsia" w:hAnsiTheme="minorEastAsia"/>
          <w:sz w:val="24"/>
        </w:rPr>
      </w:pPr>
    </w:p>
    <w:p w14:paraId="21A15295" w14:textId="77777777" w:rsidR="00086DAA" w:rsidRDefault="00086DAA">
      <w:pPr>
        <w:jc w:val="center"/>
        <w:rPr>
          <w:rFonts w:asciiTheme="minorEastAsia" w:hAnsiTheme="minorEastAsia"/>
          <w:sz w:val="24"/>
        </w:rPr>
      </w:pPr>
    </w:p>
    <w:p w14:paraId="44E9D08E" w14:textId="77777777" w:rsidR="00086DAA" w:rsidRDefault="00086DAA">
      <w:pPr>
        <w:jc w:val="center"/>
        <w:rPr>
          <w:rFonts w:asciiTheme="minorEastAsia" w:hAnsiTheme="minorEastAsia"/>
          <w:sz w:val="24"/>
        </w:rPr>
      </w:pPr>
    </w:p>
    <w:p w14:paraId="58F2BACA" w14:textId="77777777" w:rsidR="00086DAA" w:rsidRDefault="00086DAA">
      <w:pPr>
        <w:jc w:val="center"/>
        <w:rPr>
          <w:rFonts w:asciiTheme="minorEastAsia" w:hAnsiTheme="minorEastAsia"/>
          <w:sz w:val="24"/>
        </w:rPr>
      </w:pPr>
    </w:p>
    <w:p w14:paraId="72F4C41A" w14:textId="77777777" w:rsidR="00086DAA" w:rsidRDefault="00086DAA">
      <w:pPr>
        <w:jc w:val="center"/>
        <w:rPr>
          <w:rFonts w:asciiTheme="minorEastAsia" w:hAnsiTheme="minorEastAsia"/>
          <w:sz w:val="24"/>
        </w:rPr>
      </w:pPr>
    </w:p>
    <w:p w14:paraId="331408CA" w14:textId="77777777" w:rsidR="00086DAA" w:rsidRDefault="00086DAA">
      <w:pPr>
        <w:jc w:val="center"/>
        <w:rPr>
          <w:rFonts w:asciiTheme="minorEastAsia" w:hAnsiTheme="minorEastAsia"/>
          <w:sz w:val="24"/>
        </w:rPr>
      </w:pPr>
    </w:p>
    <w:p w14:paraId="22A2043A" w14:textId="77777777" w:rsidR="00086DAA" w:rsidRDefault="005541F6">
      <w:pPr>
        <w:jc w:val="center"/>
        <w:rPr>
          <w:rFonts w:asciiTheme="minorEastAsia" w:hAnsiTheme="minorEastAsia"/>
          <w:sz w:val="24"/>
        </w:rPr>
      </w:pPr>
      <w:r>
        <w:rPr>
          <w:noProof/>
        </w:rPr>
        <w:drawing>
          <wp:anchor distT="0" distB="0" distL="114300" distR="114300" simplePos="0" relativeHeight="18" behindDoc="0" locked="0" layoutInCell="1" hidden="0" allowOverlap="1" wp14:anchorId="2BCFB3AF" wp14:editId="1ED9E990">
            <wp:simplePos x="0" y="0"/>
            <wp:positionH relativeFrom="column">
              <wp:posOffset>608965</wp:posOffset>
            </wp:positionH>
            <wp:positionV relativeFrom="paragraph">
              <wp:posOffset>165100</wp:posOffset>
            </wp:positionV>
            <wp:extent cx="5039995" cy="2266950"/>
            <wp:effectExtent l="0" t="0" r="8255" b="0"/>
            <wp:wrapSquare wrapText="bothSides"/>
            <wp:docPr id="106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14:paraId="3C88EC8D" w14:textId="77777777" w:rsidR="00086DAA" w:rsidRDefault="00086DAA">
      <w:pPr>
        <w:jc w:val="center"/>
        <w:rPr>
          <w:rFonts w:asciiTheme="minorEastAsia" w:hAnsiTheme="minorEastAsia"/>
          <w:sz w:val="24"/>
        </w:rPr>
      </w:pPr>
    </w:p>
    <w:p w14:paraId="6BE7C200" w14:textId="77777777" w:rsidR="00086DAA" w:rsidRDefault="00086DAA">
      <w:pPr>
        <w:jc w:val="center"/>
        <w:rPr>
          <w:rFonts w:asciiTheme="minorEastAsia" w:hAnsiTheme="minorEastAsia"/>
          <w:sz w:val="24"/>
        </w:rPr>
      </w:pPr>
    </w:p>
    <w:p w14:paraId="350A5F9B" w14:textId="77777777" w:rsidR="00086DAA" w:rsidRDefault="00086DAA">
      <w:pPr>
        <w:jc w:val="center"/>
        <w:rPr>
          <w:rFonts w:asciiTheme="minorEastAsia" w:hAnsiTheme="minorEastAsia"/>
          <w:sz w:val="24"/>
        </w:rPr>
      </w:pPr>
    </w:p>
    <w:p w14:paraId="6A027C79" w14:textId="77777777" w:rsidR="00086DAA" w:rsidRDefault="00086DAA">
      <w:pPr>
        <w:jc w:val="center"/>
        <w:rPr>
          <w:rFonts w:asciiTheme="minorEastAsia" w:hAnsiTheme="minorEastAsia"/>
          <w:sz w:val="24"/>
        </w:rPr>
      </w:pPr>
    </w:p>
    <w:p w14:paraId="7C6E0C83" w14:textId="77777777" w:rsidR="00086DAA" w:rsidRDefault="00086DAA">
      <w:pPr>
        <w:jc w:val="center"/>
        <w:rPr>
          <w:rFonts w:asciiTheme="minorEastAsia" w:hAnsiTheme="minorEastAsia"/>
          <w:sz w:val="24"/>
        </w:rPr>
      </w:pPr>
    </w:p>
    <w:p w14:paraId="24E306A3" w14:textId="77777777" w:rsidR="00086DAA" w:rsidRDefault="00086DAA">
      <w:pPr>
        <w:jc w:val="center"/>
        <w:rPr>
          <w:rFonts w:asciiTheme="minorEastAsia" w:hAnsiTheme="minorEastAsia"/>
          <w:sz w:val="24"/>
        </w:rPr>
      </w:pPr>
    </w:p>
    <w:p w14:paraId="3482573C" w14:textId="77777777" w:rsidR="00086DAA" w:rsidRDefault="00086DAA">
      <w:pPr>
        <w:jc w:val="center"/>
        <w:rPr>
          <w:rFonts w:asciiTheme="minorEastAsia" w:hAnsiTheme="minorEastAsia"/>
          <w:sz w:val="24"/>
        </w:rPr>
      </w:pPr>
    </w:p>
    <w:p w14:paraId="07595F3C" w14:textId="77777777" w:rsidR="00086DAA" w:rsidRDefault="00086DAA">
      <w:pPr>
        <w:jc w:val="center"/>
        <w:rPr>
          <w:rFonts w:asciiTheme="minorEastAsia" w:hAnsiTheme="minorEastAsia"/>
          <w:sz w:val="24"/>
        </w:rPr>
      </w:pPr>
    </w:p>
    <w:p w14:paraId="0AA72A63" w14:textId="77777777" w:rsidR="00086DAA" w:rsidRDefault="00086DAA">
      <w:pPr>
        <w:jc w:val="center"/>
        <w:rPr>
          <w:rFonts w:asciiTheme="minorEastAsia" w:hAnsiTheme="minorEastAsia"/>
          <w:sz w:val="24"/>
        </w:rPr>
      </w:pPr>
    </w:p>
    <w:p w14:paraId="4A11C42C" w14:textId="77777777" w:rsidR="00086DAA" w:rsidRDefault="00086DAA">
      <w:pPr>
        <w:jc w:val="center"/>
        <w:rPr>
          <w:rFonts w:asciiTheme="minorEastAsia" w:hAnsiTheme="minorEastAsia"/>
          <w:sz w:val="24"/>
        </w:rPr>
      </w:pPr>
    </w:p>
    <w:p w14:paraId="269FAC45"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56A09633" w14:textId="77777777" w:rsidR="00086DAA" w:rsidRDefault="005541F6">
      <w:pPr>
        <w:pStyle w:val="ab"/>
        <w:numPr>
          <w:ilvl w:val="0"/>
          <w:numId w:val="5"/>
        </w:numPr>
        <w:ind w:leftChars="0"/>
        <w:jc w:val="left"/>
        <w:rPr>
          <w:rFonts w:asciiTheme="majorEastAsia" w:eastAsiaTheme="majorEastAsia" w:hAnsiTheme="majorEastAsia"/>
          <w:b/>
          <w:sz w:val="24"/>
        </w:rPr>
      </w:pPr>
      <w:r>
        <w:rPr>
          <w:rFonts w:asciiTheme="majorEastAsia" w:eastAsiaTheme="majorEastAsia" w:hAnsiTheme="majorEastAsia" w:hint="eastAsia"/>
          <w:b/>
          <w:sz w:val="24"/>
        </w:rPr>
        <w:lastRenderedPageBreak/>
        <w:t>住宅の構造</w:t>
      </w:r>
    </w:p>
    <w:p w14:paraId="69AF1923"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年の住宅の構造をみると、木造（防火木造を含む。）が</w:t>
      </w:r>
      <w:r>
        <w:rPr>
          <w:rFonts w:asciiTheme="minorEastAsia" w:hAnsiTheme="minorEastAsia" w:hint="eastAsia"/>
          <w:sz w:val="22"/>
        </w:rPr>
        <w:t>339,900</w:t>
      </w:r>
      <w:r>
        <w:rPr>
          <w:rFonts w:asciiTheme="minorEastAsia" w:hAnsiTheme="minorEastAsia" w:hint="eastAsia"/>
          <w:sz w:val="22"/>
        </w:rPr>
        <w:t>戸で木造率（総住宅数に占める木造の割合）が</w:t>
      </w:r>
      <w:r>
        <w:rPr>
          <w:rFonts w:asciiTheme="minorEastAsia" w:hAnsiTheme="minorEastAsia" w:hint="eastAsia"/>
          <w:sz w:val="22"/>
        </w:rPr>
        <w:t>88.6</w:t>
      </w:r>
      <w:r>
        <w:rPr>
          <w:rFonts w:asciiTheme="minorEastAsia" w:hAnsiTheme="minorEastAsia" w:hint="eastAsia"/>
          <w:sz w:val="22"/>
        </w:rPr>
        <w:t>％、非木造が</w:t>
      </w:r>
      <w:r>
        <w:rPr>
          <w:rFonts w:asciiTheme="minorEastAsia" w:hAnsiTheme="minorEastAsia" w:hint="eastAsia"/>
          <w:sz w:val="22"/>
        </w:rPr>
        <w:t>43,800</w:t>
      </w:r>
      <w:r>
        <w:rPr>
          <w:rFonts w:asciiTheme="minorEastAsia" w:hAnsiTheme="minorEastAsia" w:hint="eastAsia"/>
          <w:sz w:val="22"/>
        </w:rPr>
        <w:t>戸で非木造率（総住宅数に占める非木造の割合）が</w:t>
      </w:r>
      <w:r>
        <w:rPr>
          <w:rFonts w:asciiTheme="minorEastAsia" w:hAnsiTheme="minorEastAsia" w:hint="eastAsia"/>
          <w:sz w:val="22"/>
        </w:rPr>
        <w:t>11.4</w:t>
      </w:r>
      <w:r>
        <w:rPr>
          <w:rFonts w:asciiTheme="minorEastAsia" w:hAnsiTheme="minorEastAsia" w:hint="eastAsia"/>
          <w:sz w:val="22"/>
        </w:rPr>
        <w:t>％となっていて、県内の住宅では</w:t>
      </w:r>
      <w:r>
        <w:rPr>
          <w:rFonts w:asciiTheme="minorEastAsia" w:hAnsiTheme="minorEastAsia" w:hint="eastAsia"/>
          <w:sz w:val="22"/>
        </w:rPr>
        <w:t>9</w:t>
      </w:r>
      <w:r>
        <w:rPr>
          <w:rFonts w:asciiTheme="minorEastAsia" w:hAnsiTheme="minorEastAsia" w:hint="eastAsia"/>
          <w:sz w:val="22"/>
        </w:rPr>
        <w:t>割近くが木造となっている。</w:t>
      </w:r>
    </w:p>
    <w:p w14:paraId="7D644228"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住宅の構造別割合の推移をみると、木造率は昭和</w:t>
      </w:r>
      <w:r>
        <w:rPr>
          <w:rFonts w:asciiTheme="minorEastAsia" w:hAnsiTheme="minorEastAsia" w:hint="eastAsia"/>
          <w:sz w:val="22"/>
        </w:rPr>
        <w:t>63</w:t>
      </w:r>
      <w:r>
        <w:rPr>
          <w:rFonts w:asciiTheme="minorEastAsia" w:hAnsiTheme="minorEastAsia" w:hint="eastAsia"/>
          <w:sz w:val="22"/>
        </w:rPr>
        <w:t>年から平成</w:t>
      </w:r>
      <w:r>
        <w:rPr>
          <w:rFonts w:asciiTheme="minorEastAsia" w:hAnsiTheme="minorEastAsia" w:hint="eastAsia"/>
          <w:sz w:val="22"/>
        </w:rPr>
        <w:t>25</w:t>
      </w:r>
      <w:r>
        <w:rPr>
          <w:rFonts w:asciiTheme="minorEastAsia" w:hAnsiTheme="minorEastAsia" w:hint="eastAsia"/>
          <w:sz w:val="22"/>
        </w:rPr>
        <w:t>年まで減少が続いたが、平成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1.4</w:t>
      </w:r>
      <w:r>
        <w:rPr>
          <w:rFonts w:asciiTheme="minorEastAsia" w:hAnsiTheme="minorEastAsia" w:hint="eastAsia"/>
          <w:sz w:val="22"/>
        </w:rPr>
        <w:t>ポイント増加している。一方、非木造率は昭和</w:t>
      </w:r>
      <w:r>
        <w:rPr>
          <w:rFonts w:asciiTheme="minorEastAsia" w:hAnsiTheme="minorEastAsia" w:hint="eastAsia"/>
          <w:sz w:val="22"/>
        </w:rPr>
        <w:t>63</w:t>
      </w:r>
      <w:r>
        <w:rPr>
          <w:rFonts w:asciiTheme="minorEastAsia" w:hAnsiTheme="minorEastAsia" w:hint="eastAsia"/>
          <w:sz w:val="22"/>
        </w:rPr>
        <w:t>年から平成</w:t>
      </w:r>
      <w:r>
        <w:rPr>
          <w:rFonts w:asciiTheme="minorEastAsia" w:hAnsiTheme="minorEastAsia" w:hint="eastAsia"/>
          <w:sz w:val="22"/>
        </w:rPr>
        <w:t>25</w:t>
      </w:r>
      <w:r>
        <w:rPr>
          <w:rFonts w:asciiTheme="minorEastAsia" w:hAnsiTheme="minorEastAsia" w:hint="eastAsia"/>
          <w:sz w:val="22"/>
        </w:rPr>
        <w:t>年まで上昇が続いたが、平成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1.4</w:t>
      </w:r>
      <w:r>
        <w:rPr>
          <w:rFonts w:asciiTheme="minorEastAsia" w:hAnsiTheme="minorEastAsia" w:hint="eastAsia"/>
          <w:sz w:val="22"/>
        </w:rPr>
        <w:t>ポイ</w:t>
      </w:r>
      <w:r>
        <w:rPr>
          <w:rFonts w:asciiTheme="minorEastAsia" w:hAnsiTheme="minorEastAsia" w:hint="eastAsia"/>
          <w:sz w:val="22"/>
        </w:rPr>
        <w:t>ント減少した。</w:t>
      </w:r>
    </w:p>
    <w:p w14:paraId="0A4AEEB2"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なお、平成</w:t>
      </w:r>
      <w:r>
        <w:rPr>
          <w:rFonts w:asciiTheme="minorEastAsia" w:hAnsiTheme="minorEastAsia" w:hint="eastAsia"/>
          <w:sz w:val="22"/>
        </w:rPr>
        <w:t>30</w:t>
      </w:r>
      <w:r>
        <w:rPr>
          <w:rFonts w:asciiTheme="minorEastAsia" w:hAnsiTheme="minorEastAsia" w:hint="eastAsia"/>
          <w:sz w:val="22"/>
        </w:rPr>
        <w:t>年の木造率を都道府県別にみると、秋田県の</w:t>
      </w:r>
      <w:r>
        <w:rPr>
          <w:rFonts w:asciiTheme="minorEastAsia" w:hAnsiTheme="minorEastAsia" w:hint="eastAsia"/>
          <w:sz w:val="22"/>
        </w:rPr>
        <w:t>88.6</w:t>
      </w:r>
      <w:r>
        <w:rPr>
          <w:rFonts w:asciiTheme="minorEastAsia" w:hAnsiTheme="minorEastAsia" w:hint="eastAsia"/>
          <w:sz w:val="22"/>
        </w:rPr>
        <w:t>％は全国１位となっており、全国の</w:t>
      </w:r>
      <w:r>
        <w:rPr>
          <w:rFonts w:asciiTheme="minorEastAsia" w:hAnsiTheme="minorEastAsia" w:hint="eastAsia"/>
          <w:sz w:val="22"/>
        </w:rPr>
        <w:t>57.0</w:t>
      </w:r>
      <w:r>
        <w:rPr>
          <w:rFonts w:asciiTheme="minorEastAsia" w:hAnsiTheme="minorEastAsia" w:hint="eastAsia"/>
          <w:sz w:val="22"/>
        </w:rPr>
        <w:t>％を</w:t>
      </w:r>
      <w:r>
        <w:rPr>
          <w:rFonts w:asciiTheme="minorEastAsia" w:hAnsiTheme="minorEastAsia" w:hint="eastAsia"/>
          <w:sz w:val="22"/>
        </w:rPr>
        <w:t>31.6</w:t>
      </w:r>
      <w:r>
        <w:rPr>
          <w:rFonts w:asciiTheme="minorEastAsia" w:hAnsiTheme="minorEastAsia" w:hint="eastAsia"/>
          <w:sz w:val="22"/>
        </w:rPr>
        <w:t>ポイント上回っている。</w:t>
      </w:r>
    </w:p>
    <w:p w14:paraId="77B3E75F" w14:textId="7AF52D84" w:rsidR="00086DAA" w:rsidRDefault="005541F6">
      <w:pPr>
        <w:jc w:val="center"/>
        <w:rPr>
          <w:rFonts w:asciiTheme="minorEastAsia" w:hAnsiTheme="minorEastAsia"/>
          <w:b/>
          <w:sz w:val="24"/>
        </w:rPr>
      </w:pPr>
      <w:r>
        <w:rPr>
          <w:rFonts w:asciiTheme="minorEastAsia" w:hAnsiTheme="minorEastAsia"/>
          <w:b/>
          <w:sz w:val="24"/>
        </w:rPr>
        <w:pict w14:anchorId="0BE568E1">
          <v:shape id="_x0000_i1124" type="#_x0000_t75" style="width:374.4pt;height:273.6pt">
            <v:imagedata r:id="rId44" o:title=""/>
          </v:shape>
        </w:pict>
      </w:r>
    </w:p>
    <w:p w14:paraId="4BC01701" w14:textId="77777777" w:rsidR="00086DAA" w:rsidRDefault="005541F6">
      <w:pPr>
        <w:jc w:val="center"/>
        <w:rPr>
          <w:rFonts w:asciiTheme="minorEastAsia" w:hAnsiTheme="minorEastAsia"/>
          <w:sz w:val="24"/>
        </w:rPr>
      </w:pPr>
      <w:r>
        <w:rPr>
          <w:noProof/>
        </w:rPr>
        <w:drawing>
          <wp:inline distT="0" distB="0" distL="0" distR="0" wp14:anchorId="60B71326" wp14:editId="00BB56BD">
            <wp:extent cx="4560570" cy="1890395"/>
            <wp:effectExtent l="0" t="0" r="11430" b="14605"/>
            <wp:docPr id="1067"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33F65FE" w14:textId="77777777" w:rsidR="00086DAA" w:rsidRDefault="005541F6">
      <w:pPr>
        <w:jc w:val="center"/>
        <w:rPr>
          <w:rFonts w:asciiTheme="minorEastAsia" w:hAnsiTheme="minorEastAsia"/>
          <w:sz w:val="24"/>
        </w:rPr>
      </w:pPr>
      <w:r>
        <w:rPr>
          <w:noProof/>
        </w:rPr>
        <w:drawing>
          <wp:inline distT="0" distB="0" distL="0" distR="0" wp14:anchorId="7C989870" wp14:editId="185B47F5">
            <wp:extent cx="4740275" cy="1760855"/>
            <wp:effectExtent l="0" t="0" r="3175" b="10795"/>
            <wp:docPr id="106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rFonts w:asciiTheme="minorEastAsia" w:hAnsiTheme="minorEastAsia"/>
          <w:sz w:val="24"/>
        </w:rPr>
        <w:br w:type="page"/>
      </w:r>
    </w:p>
    <w:p w14:paraId="523898F0" w14:textId="77777777" w:rsidR="00086DAA" w:rsidRDefault="005541F6">
      <w:pPr>
        <w:pStyle w:val="ab"/>
        <w:numPr>
          <w:ilvl w:val="0"/>
          <w:numId w:val="5"/>
        </w:numPr>
        <w:ind w:leftChars="0"/>
        <w:jc w:val="left"/>
        <w:rPr>
          <w:rFonts w:asciiTheme="majorEastAsia" w:eastAsiaTheme="majorEastAsia" w:hAnsiTheme="majorEastAsia"/>
          <w:b/>
          <w:sz w:val="24"/>
        </w:rPr>
      </w:pPr>
      <w:r>
        <w:rPr>
          <w:rFonts w:asciiTheme="majorEastAsia" w:eastAsiaTheme="majorEastAsia" w:hAnsiTheme="majorEastAsia" w:hint="eastAsia"/>
          <w:b/>
          <w:sz w:val="24"/>
        </w:rPr>
        <w:lastRenderedPageBreak/>
        <w:t>建て方別にみた住宅の構造</w:t>
      </w:r>
    </w:p>
    <w:p w14:paraId="60501CF5"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年の住宅の構造を建て方別にみると、一戸建は</w:t>
      </w:r>
      <w:r>
        <w:rPr>
          <w:rFonts w:asciiTheme="minorEastAsia" w:hAnsiTheme="minorEastAsia" w:hint="eastAsia"/>
          <w:sz w:val="22"/>
        </w:rPr>
        <w:t>306,200</w:t>
      </w:r>
      <w:r>
        <w:rPr>
          <w:rFonts w:asciiTheme="minorEastAsia" w:hAnsiTheme="minorEastAsia" w:hint="eastAsia"/>
          <w:sz w:val="22"/>
        </w:rPr>
        <w:t>戸のうち木造が</w:t>
      </w:r>
      <w:r>
        <w:rPr>
          <w:rFonts w:asciiTheme="minorEastAsia" w:hAnsiTheme="minorEastAsia" w:hint="eastAsia"/>
          <w:sz w:val="22"/>
        </w:rPr>
        <w:t>303,500</w:t>
      </w:r>
      <w:r>
        <w:rPr>
          <w:rFonts w:asciiTheme="minorEastAsia" w:hAnsiTheme="minorEastAsia" w:hint="eastAsia"/>
          <w:sz w:val="22"/>
        </w:rPr>
        <w:t>戸</w:t>
      </w:r>
      <w:r>
        <w:rPr>
          <w:rFonts w:asciiTheme="minorEastAsia" w:hAnsiTheme="minorEastAsia" w:hint="eastAsia"/>
          <w:sz w:val="22"/>
        </w:rPr>
        <w:t>(99.1</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、非木造が</w:t>
      </w:r>
      <w:r>
        <w:rPr>
          <w:rFonts w:asciiTheme="minorEastAsia" w:hAnsiTheme="minorEastAsia" w:hint="eastAsia"/>
          <w:sz w:val="22"/>
        </w:rPr>
        <w:t>2,700</w:t>
      </w:r>
      <w:r>
        <w:rPr>
          <w:rFonts w:asciiTheme="minorEastAsia" w:hAnsiTheme="minorEastAsia" w:hint="eastAsia"/>
          <w:sz w:val="22"/>
        </w:rPr>
        <w:t>戸</w:t>
      </w:r>
      <w:r>
        <w:rPr>
          <w:rFonts w:asciiTheme="minorEastAsia" w:hAnsiTheme="minorEastAsia" w:hint="eastAsia"/>
          <w:sz w:val="22"/>
        </w:rPr>
        <w:t>(0.9</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となっていて、一戸建では木造の割合が圧倒的に多くなっている。また、長屋建は</w:t>
      </w:r>
      <w:r>
        <w:rPr>
          <w:rFonts w:asciiTheme="minorEastAsia" w:hAnsiTheme="minorEastAsia" w:hint="eastAsia"/>
          <w:sz w:val="22"/>
        </w:rPr>
        <w:t>8,700</w:t>
      </w:r>
      <w:r>
        <w:rPr>
          <w:rFonts w:asciiTheme="minorEastAsia" w:hAnsiTheme="minorEastAsia" w:hint="eastAsia"/>
          <w:sz w:val="22"/>
        </w:rPr>
        <w:t>戸のうち木造が</w:t>
      </w:r>
      <w:r>
        <w:rPr>
          <w:rFonts w:asciiTheme="minorEastAsia" w:hAnsiTheme="minorEastAsia" w:hint="eastAsia"/>
          <w:sz w:val="22"/>
        </w:rPr>
        <w:t>6,700</w:t>
      </w:r>
      <w:r>
        <w:rPr>
          <w:rFonts w:asciiTheme="minorEastAsia" w:hAnsiTheme="minorEastAsia" w:hint="eastAsia"/>
          <w:sz w:val="22"/>
        </w:rPr>
        <w:t>戸</w:t>
      </w:r>
      <w:r>
        <w:rPr>
          <w:rFonts w:asciiTheme="minorEastAsia" w:hAnsiTheme="minorEastAsia" w:hint="eastAsia"/>
          <w:sz w:val="22"/>
        </w:rPr>
        <w:t>(77.0</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w:t>
      </w:r>
      <w:r>
        <w:rPr>
          <w:rFonts w:asciiTheme="minorEastAsia" w:hAnsiTheme="minorEastAsia" w:hint="eastAsia"/>
          <w:sz w:val="22"/>
        </w:rPr>
        <w:t>8</w:t>
      </w:r>
      <w:r>
        <w:rPr>
          <w:rFonts w:asciiTheme="minorEastAsia" w:hAnsiTheme="minorEastAsia" w:hint="eastAsia"/>
          <w:sz w:val="22"/>
        </w:rPr>
        <w:t>割近くを占めているが、共同住宅では</w:t>
      </w:r>
      <w:r>
        <w:rPr>
          <w:rFonts w:asciiTheme="minorEastAsia" w:hAnsiTheme="minorEastAsia" w:hint="eastAsia"/>
          <w:sz w:val="22"/>
        </w:rPr>
        <w:t>68,200</w:t>
      </w:r>
      <w:r>
        <w:rPr>
          <w:rFonts w:asciiTheme="minorEastAsia" w:hAnsiTheme="minorEastAsia" w:hint="eastAsia"/>
          <w:sz w:val="22"/>
        </w:rPr>
        <w:t>戸のうち木造が</w:t>
      </w:r>
      <w:r>
        <w:rPr>
          <w:rFonts w:asciiTheme="minorEastAsia" w:hAnsiTheme="minorEastAsia" w:hint="eastAsia"/>
          <w:sz w:val="22"/>
        </w:rPr>
        <w:t>29,200</w:t>
      </w:r>
      <w:r>
        <w:rPr>
          <w:rFonts w:asciiTheme="minorEastAsia" w:hAnsiTheme="minorEastAsia" w:hint="eastAsia"/>
          <w:sz w:val="22"/>
        </w:rPr>
        <w:t>戸</w:t>
      </w:r>
      <w:r>
        <w:rPr>
          <w:rFonts w:asciiTheme="minorEastAsia" w:hAnsiTheme="minorEastAsia" w:hint="eastAsia"/>
          <w:sz w:val="22"/>
        </w:rPr>
        <w:t>(42.8</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、非木造が</w:t>
      </w:r>
      <w:r>
        <w:rPr>
          <w:rFonts w:asciiTheme="minorEastAsia" w:hAnsiTheme="minorEastAsia" w:hint="eastAsia"/>
          <w:sz w:val="22"/>
        </w:rPr>
        <w:t>38,900</w:t>
      </w:r>
      <w:r>
        <w:rPr>
          <w:rFonts w:asciiTheme="minorEastAsia" w:hAnsiTheme="minorEastAsia" w:hint="eastAsia"/>
          <w:sz w:val="22"/>
        </w:rPr>
        <w:t>戸</w:t>
      </w:r>
      <w:r>
        <w:rPr>
          <w:rFonts w:asciiTheme="minorEastAsia" w:hAnsiTheme="minorEastAsia" w:hint="eastAsia"/>
          <w:sz w:val="22"/>
        </w:rPr>
        <w:t>(57.0</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で非木造の割合が高くなっている。</w:t>
      </w:r>
    </w:p>
    <w:p w14:paraId="7C73C0D0"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なお、非木造住宅</w:t>
      </w:r>
      <w:r>
        <w:rPr>
          <w:rFonts w:asciiTheme="minorEastAsia" w:hAnsiTheme="minorEastAsia" w:hint="eastAsia"/>
          <w:sz w:val="22"/>
        </w:rPr>
        <w:t>43,800</w:t>
      </w:r>
      <w:r>
        <w:rPr>
          <w:rFonts w:asciiTheme="minorEastAsia" w:hAnsiTheme="minorEastAsia" w:hint="eastAsia"/>
          <w:sz w:val="22"/>
        </w:rPr>
        <w:t>戸のうち共同住宅が</w:t>
      </w:r>
      <w:r>
        <w:rPr>
          <w:rFonts w:asciiTheme="minorEastAsia" w:hAnsiTheme="minorEastAsia" w:hint="eastAsia"/>
          <w:sz w:val="22"/>
        </w:rPr>
        <w:t>38,900</w:t>
      </w:r>
      <w:r>
        <w:rPr>
          <w:rFonts w:asciiTheme="minorEastAsia" w:hAnsiTheme="minorEastAsia" w:hint="eastAsia"/>
          <w:sz w:val="22"/>
        </w:rPr>
        <w:t>戸となっていて、県内の非木造住宅の</w:t>
      </w:r>
      <w:r>
        <w:rPr>
          <w:rFonts w:asciiTheme="minorEastAsia" w:hAnsiTheme="minorEastAsia" w:hint="eastAsia"/>
          <w:sz w:val="22"/>
        </w:rPr>
        <w:t>9</w:t>
      </w:r>
      <w:r>
        <w:rPr>
          <w:rFonts w:asciiTheme="minorEastAsia" w:hAnsiTheme="minorEastAsia" w:hint="eastAsia"/>
          <w:sz w:val="22"/>
        </w:rPr>
        <w:t>割近くが共同住宅となっている。</w:t>
      </w:r>
    </w:p>
    <w:p w14:paraId="7FB8D548" w14:textId="52F66133" w:rsidR="00086DAA" w:rsidRDefault="005541F6">
      <w:pPr>
        <w:jc w:val="center"/>
        <w:rPr>
          <w:rFonts w:asciiTheme="minorEastAsia" w:hAnsiTheme="minorEastAsia"/>
          <w:sz w:val="24"/>
        </w:rPr>
      </w:pPr>
      <w:r>
        <w:rPr>
          <w:rFonts w:asciiTheme="minorEastAsia" w:hAnsiTheme="minorEastAsia"/>
          <w:sz w:val="24"/>
        </w:rPr>
        <w:pict w14:anchorId="7BD26EEC">
          <v:shape id="_x0000_i1122" type="#_x0000_t75" style="width:424.8pt;height:201.6pt">
            <v:imagedata r:id="rId47" o:title=""/>
          </v:shape>
        </w:pict>
      </w:r>
    </w:p>
    <w:p w14:paraId="70DB36BF" w14:textId="77777777" w:rsidR="00086DAA" w:rsidRDefault="00086DAA">
      <w:pPr>
        <w:ind w:firstLineChars="125" w:firstLine="284"/>
        <w:jc w:val="left"/>
        <w:rPr>
          <w:rFonts w:asciiTheme="minorEastAsia" w:hAnsiTheme="minorEastAsia"/>
          <w:sz w:val="24"/>
        </w:rPr>
      </w:pPr>
    </w:p>
    <w:p w14:paraId="24D02683" w14:textId="77777777" w:rsidR="00086DAA" w:rsidRDefault="005541F6">
      <w:pPr>
        <w:jc w:val="left"/>
        <w:rPr>
          <w:rFonts w:asciiTheme="minorEastAsia" w:hAnsiTheme="minorEastAsia"/>
          <w:sz w:val="24"/>
        </w:rPr>
      </w:pPr>
      <w:r>
        <w:rPr>
          <w:noProof/>
        </w:rPr>
        <w:drawing>
          <wp:anchor distT="0" distB="0" distL="114300" distR="114300" simplePos="0" relativeHeight="21" behindDoc="0" locked="0" layoutInCell="1" hidden="0" allowOverlap="1" wp14:anchorId="146BF7AF" wp14:editId="4CE8FCAC">
            <wp:simplePos x="0" y="0"/>
            <wp:positionH relativeFrom="column">
              <wp:posOffset>455930</wp:posOffset>
            </wp:positionH>
            <wp:positionV relativeFrom="paragraph">
              <wp:posOffset>49530</wp:posOffset>
            </wp:positionV>
            <wp:extent cx="5399405" cy="2700020"/>
            <wp:effectExtent l="0" t="0" r="10795" b="5080"/>
            <wp:wrapSquare wrapText="bothSides"/>
            <wp:docPr id="107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14:paraId="6062436F" w14:textId="77777777" w:rsidR="00086DAA" w:rsidRDefault="00086DAA">
      <w:pPr>
        <w:jc w:val="left"/>
        <w:rPr>
          <w:rFonts w:asciiTheme="minorEastAsia" w:hAnsiTheme="minorEastAsia"/>
          <w:sz w:val="24"/>
        </w:rPr>
      </w:pPr>
    </w:p>
    <w:p w14:paraId="34C1DCFB" w14:textId="77777777" w:rsidR="00086DAA" w:rsidRDefault="00086DAA">
      <w:pPr>
        <w:jc w:val="left"/>
        <w:rPr>
          <w:rFonts w:asciiTheme="minorEastAsia" w:hAnsiTheme="minorEastAsia"/>
          <w:sz w:val="24"/>
        </w:rPr>
      </w:pPr>
    </w:p>
    <w:p w14:paraId="0C4752FE" w14:textId="77777777" w:rsidR="00086DAA" w:rsidRDefault="00086DAA">
      <w:pPr>
        <w:jc w:val="left"/>
        <w:rPr>
          <w:rFonts w:asciiTheme="minorEastAsia" w:hAnsiTheme="minorEastAsia"/>
          <w:sz w:val="24"/>
        </w:rPr>
      </w:pPr>
    </w:p>
    <w:p w14:paraId="27478A87" w14:textId="77777777" w:rsidR="00086DAA" w:rsidRDefault="00086DAA">
      <w:pPr>
        <w:jc w:val="left"/>
        <w:rPr>
          <w:rFonts w:asciiTheme="minorEastAsia" w:hAnsiTheme="minorEastAsia"/>
          <w:sz w:val="24"/>
        </w:rPr>
      </w:pPr>
    </w:p>
    <w:p w14:paraId="7E9A35FB" w14:textId="77777777" w:rsidR="00086DAA" w:rsidRDefault="00086DAA">
      <w:pPr>
        <w:jc w:val="left"/>
        <w:rPr>
          <w:rFonts w:asciiTheme="minorEastAsia" w:hAnsiTheme="minorEastAsia"/>
          <w:sz w:val="24"/>
        </w:rPr>
      </w:pPr>
    </w:p>
    <w:p w14:paraId="7D15CF52" w14:textId="77777777" w:rsidR="00086DAA" w:rsidRDefault="00086DAA">
      <w:pPr>
        <w:jc w:val="left"/>
        <w:rPr>
          <w:rFonts w:asciiTheme="minorEastAsia" w:hAnsiTheme="minorEastAsia"/>
          <w:sz w:val="24"/>
        </w:rPr>
      </w:pPr>
    </w:p>
    <w:p w14:paraId="48BF87C8" w14:textId="77777777" w:rsidR="00086DAA" w:rsidRDefault="00086DAA">
      <w:pPr>
        <w:jc w:val="left"/>
        <w:rPr>
          <w:rFonts w:asciiTheme="minorEastAsia" w:hAnsiTheme="minorEastAsia"/>
          <w:sz w:val="24"/>
        </w:rPr>
      </w:pPr>
    </w:p>
    <w:p w14:paraId="76C8DB65" w14:textId="77777777" w:rsidR="00086DAA" w:rsidRDefault="00086DAA">
      <w:pPr>
        <w:jc w:val="left"/>
        <w:rPr>
          <w:rFonts w:asciiTheme="minorEastAsia" w:hAnsiTheme="minorEastAsia"/>
          <w:sz w:val="24"/>
        </w:rPr>
      </w:pPr>
    </w:p>
    <w:p w14:paraId="1295A66F" w14:textId="77777777" w:rsidR="00086DAA" w:rsidRDefault="00086DAA">
      <w:pPr>
        <w:jc w:val="left"/>
        <w:rPr>
          <w:rFonts w:asciiTheme="minorEastAsia" w:hAnsiTheme="minorEastAsia"/>
          <w:sz w:val="24"/>
        </w:rPr>
      </w:pPr>
    </w:p>
    <w:p w14:paraId="121EA3CE" w14:textId="77777777" w:rsidR="00086DAA" w:rsidRDefault="00086DAA">
      <w:pPr>
        <w:jc w:val="left"/>
        <w:rPr>
          <w:rFonts w:asciiTheme="minorEastAsia" w:hAnsiTheme="minorEastAsia"/>
          <w:sz w:val="24"/>
        </w:rPr>
      </w:pPr>
    </w:p>
    <w:p w14:paraId="3C7EC125" w14:textId="77777777" w:rsidR="00086DAA" w:rsidRDefault="00086DAA">
      <w:pPr>
        <w:jc w:val="left"/>
        <w:rPr>
          <w:rFonts w:asciiTheme="minorEastAsia" w:hAnsiTheme="minorEastAsia"/>
          <w:sz w:val="24"/>
        </w:rPr>
      </w:pPr>
    </w:p>
    <w:p w14:paraId="65C481D4" w14:textId="77777777" w:rsidR="00086DAA" w:rsidRDefault="00086DAA">
      <w:pPr>
        <w:jc w:val="left"/>
        <w:rPr>
          <w:rFonts w:asciiTheme="minorEastAsia" w:hAnsiTheme="minorEastAsia"/>
          <w:sz w:val="24"/>
        </w:rPr>
      </w:pPr>
    </w:p>
    <w:p w14:paraId="3EB5969B" w14:textId="77777777" w:rsidR="00086DAA" w:rsidRDefault="00086DAA">
      <w:pPr>
        <w:rPr>
          <w:rFonts w:asciiTheme="minorEastAsia" w:hAnsiTheme="minorEastAsia"/>
          <w:sz w:val="24"/>
        </w:rPr>
      </w:pPr>
    </w:p>
    <w:p w14:paraId="575F840F"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065A25CB" w14:textId="77777777" w:rsidR="00086DAA" w:rsidRDefault="005541F6">
      <w:pPr>
        <w:rPr>
          <w:rFonts w:asciiTheme="majorEastAsia" w:eastAsiaTheme="majorEastAsia" w:hAnsiTheme="majorEastAsia"/>
          <w:b/>
          <w:sz w:val="26"/>
        </w:rPr>
      </w:pPr>
      <w:r>
        <w:rPr>
          <w:rFonts w:asciiTheme="majorEastAsia" w:eastAsiaTheme="majorEastAsia" w:hAnsiTheme="majorEastAsia" w:hint="eastAsia"/>
          <w:b/>
          <w:sz w:val="26"/>
        </w:rPr>
        <w:lastRenderedPageBreak/>
        <w:t>３　建築の時期</w:t>
      </w:r>
    </w:p>
    <w:p w14:paraId="4B689744" w14:textId="77777777" w:rsidR="00086DAA" w:rsidRDefault="005541F6">
      <w:pPr>
        <w:ind w:firstLineChars="125" w:firstLine="259"/>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年の住宅を建築の時期別にみると、昭和</w:t>
      </w:r>
      <w:r>
        <w:rPr>
          <w:rFonts w:asciiTheme="minorEastAsia" w:hAnsiTheme="minorEastAsia" w:hint="eastAsia"/>
          <w:sz w:val="22"/>
        </w:rPr>
        <w:t>25</w:t>
      </w:r>
      <w:r>
        <w:rPr>
          <w:rFonts w:asciiTheme="minorEastAsia" w:hAnsiTheme="minorEastAsia" w:hint="eastAsia"/>
          <w:sz w:val="22"/>
        </w:rPr>
        <w:t>年以前に建築された住宅が</w:t>
      </w:r>
      <w:r>
        <w:rPr>
          <w:rFonts w:asciiTheme="minorEastAsia" w:hAnsiTheme="minorEastAsia" w:hint="eastAsia"/>
          <w:sz w:val="22"/>
        </w:rPr>
        <w:t>14,800</w:t>
      </w:r>
      <w:r>
        <w:rPr>
          <w:rFonts w:asciiTheme="minorEastAsia" w:hAnsiTheme="minorEastAsia" w:hint="eastAsia"/>
          <w:sz w:val="22"/>
        </w:rPr>
        <w:t>戸で住宅全体の</w:t>
      </w:r>
      <w:r>
        <w:rPr>
          <w:rFonts w:asciiTheme="minorEastAsia" w:hAnsiTheme="minorEastAsia" w:hint="eastAsia"/>
          <w:sz w:val="22"/>
        </w:rPr>
        <w:t>4.1</w:t>
      </w:r>
      <w:r>
        <w:rPr>
          <w:rFonts w:asciiTheme="minorEastAsia" w:hAnsiTheme="minorEastAsia" w:hint="eastAsia"/>
          <w:sz w:val="22"/>
        </w:rPr>
        <w:t>％を占め、昭和</w:t>
      </w:r>
      <w:r>
        <w:rPr>
          <w:rFonts w:asciiTheme="minorEastAsia" w:hAnsiTheme="minorEastAsia" w:hint="eastAsia"/>
          <w:sz w:val="22"/>
        </w:rPr>
        <w:t>26</w:t>
      </w:r>
      <w:r>
        <w:rPr>
          <w:rFonts w:asciiTheme="minorEastAsia" w:hAnsiTheme="minorEastAsia" w:hint="eastAsia"/>
          <w:sz w:val="22"/>
        </w:rPr>
        <w:t>年以降に建築された住宅が</w:t>
      </w:r>
      <w:r>
        <w:rPr>
          <w:rFonts w:asciiTheme="minorEastAsia" w:hAnsiTheme="minorEastAsia" w:hint="eastAsia"/>
          <w:sz w:val="22"/>
        </w:rPr>
        <w:t>349,700</w:t>
      </w:r>
      <w:r>
        <w:rPr>
          <w:rFonts w:asciiTheme="minorEastAsia" w:hAnsiTheme="minorEastAsia" w:hint="eastAsia"/>
          <w:sz w:val="22"/>
        </w:rPr>
        <w:t>戸で住宅全体の</w:t>
      </w:r>
      <w:r>
        <w:rPr>
          <w:rFonts w:asciiTheme="minorEastAsia" w:hAnsiTheme="minorEastAsia" w:hint="eastAsia"/>
          <w:sz w:val="22"/>
        </w:rPr>
        <w:t>95.9</w:t>
      </w:r>
      <w:r>
        <w:rPr>
          <w:rFonts w:asciiTheme="minorEastAsia" w:hAnsiTheme="minorEastAsia" w:hint="eastAsia"/>
          <w:sz w:val="22"/>
        </w:rPr>
        <w:t>％を占めている。</w:t>
      </w:r>
    </w:p>
    <w:p w14:paraId="067FE03A" w14:textId="77777777" w:rsidR="00086DAA" w:rsidRDefault="005541F6">
      <w:pPr>
        <w:ind w:firstLineChars="125" w:firstLine="259"/>
        <w:rPr>
          <w:rFonts w:asciiTheme="minorEastAsia" w:hAnsiTheme="minorEastAsia"/>
          <w:sz w:val="22"/>
        </w:rPr>
      </w:pPr>
      <w:r>
        <w:rPr>
          <w:rFonts w:asciiTheme="minorEastAsia" w:hAnsiTheme="minorEastAsia" w:hint="eastAsia"/>
          <w:sz w:val="22"/>
        </w:rPr>
        <w:t>また、平成</w:t>
      </w:r>
      <w:r>
        <w:rPr>
          <w:rFonts w:asciiTheme="minorEastAsia" w:hAnsiTheme="minorEastAsia" w:hint="eastAsia"/>
          <w:sz w:val="22"/>
        </w:rPr>
        <w:t>3</w:t>
      </w:r>
      <w:r>
        <w:rPr>
          <w:rFonts w:asciiTheme="minorEastAsia" w:hAnsiTheme="minorEastAsia" w:hint="eastAsia"/>
          <w:sz w:val="22"/>
        </w:rPr>
        <w:t>年以降に建築された住宅は</w:t>
      </w:r>
      <w:r>
        <w:rPr>
          <w:rFonts w:asciiTheme="minorEastAsia" w:hAnsiTheme="minorEastAsia" w:hint="eastAsia"/>
          <w:sz w:val="22"/>
        </w:rPr>
        <w:t>179,100</w:t>
      </w:r>
      <w:r>
        <w:rPr>
          <w:rFonts w:asciiTheme="minorEastAsia" w:hAnsiTheme="minorEastAsia" w:hint="eastAsia"/>
          <w:sz w:val="22"/>
        </w:rPr>
        <w:t>戸</w:t>
      </w:r>
      <w:r>
        <w:rPr>
          <w:rFonts w:asciiTheme="minorEastAsia" w:hAnsiTheme="minorEastAsia" w:hint="eastAsia"/>
          <w:sz w:val="22"/>
        </w:rPr>
        <w:t>(49.1</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で住宅総数の約</w:t>
      </w:r>
      <w:r>
        <w:rPr>
          <w:rFonts w:asciiTheme="minorEastAsia" w:hAnsiTheme="minorEastAsia" w:hint="eastAsia"/>
          <w:sz w:val="22"/>
        </w:rPr>
        <w:t>5</w:t>
      </w:r>
      <w:r>
        <w:rPr>
          <w:rFonts w:asciiTheme="minorEastAsia" w:hAnsiTheme="minorEastAsia" w:hint="eastAsia"/>
          <w:sz w:val="22"/>
        </w:rPr>
        <w:t>割となっている。その一方で、昭和</w:t>
      </w:r>
      <w:r>
        <w:rPr>
          <w:rFonts w:asciiTheme="minorEastAsia" w:hAnsiTheme="minorEastAsia" w:hint="eastAsia"/>
          <w:sz w:val="22"/>
        </w:rPr>
        <w:t>55</w:t>
      </w:r>
      <w:r>
        <w:rPr>
          <w:rFonts w:asciiTheme="minorEastAsia" w:hAnsiTheme="minorEastAsia" w:hint="eastAsia"/>
          <w:sz w:val="22"/>
        </w:rPr>
        <w:t>年以前に建築された住宅は</w:t>
      </w:r>
      <w:r>
        <w:rPr>
          <w:rFonts w:asciiTheme="minorEastAsia" w:hAnsiTheme="minorEastAsia" w:hint="eastAsia"/>
          <w:sz w:val="22"/>
        </w:rPr>
        <w:t>120,000</w:t>
      </w:r>
      <w:r>
        <w:rPr>
          <w:rFonts w:asciiTheme="minorEastAsia" w:hAnsiTheme="minorEastAsia" w:hint="eastAsia"/>
          <w:sz w:val="22"/>
        </w:rPr>
        <w:t>戸</w:t>
      </w:r>
      <w:r>
        <w:rPr>
          <w:rFonts w:asciiTheme="minorEastAsia" w:hAnsiTheme="minorEastAsia" w:hint="eastAsia"/>
          <w:sz w:val="22"/>
        </w:rPr>
        <w:t>(32.9</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あり、県内の住宅の</w:t>
      </w:r>
      <w:r>
        <w:rPr>
          <w:rFonts w:asciiTheme="minorEastAsia" w:hAnsiTheme="minorEastAsia" w:hint="eastAsia"/>
          <w:sz w:val="22"/>
        </w:rPr>
        <w:t>3</w:t>
      </w:r>
      <w:r>
        <w:rPr>
          <w:rFonts w:asciiTheme="minorEastAsia" w:hAnsiTheme="minorEastAsia" w:hint="eastAsia"/>
          <w:sz w:val="22"/>
        </w:rPr>
        <w:t>分の</w:t>
      </w:r>
      <w:r>
        <w:rPr>
          <w:rFonts w:asciiTheme="minorEastAsia" w:hAnsiTheme="minorEastAsia" w:hint="eastAsia"/>
          <w:sz w:val="22"/>
        </w:rPr>
        <w:t>1</w:t>
      </w:r>
      <w:r>
        <w:rPr>
          <w:rFonts w:asciiTheme="minorEastAsia" w:hAnsiTheme="minorEastAsia" w:hint="eastAsia"/>
          <w:sz w:val="22"/>
        </w:rPr>
        <w:t>近くが建築後</w:t>
      </w:r>
      <w:r>
        <w:rPr>
          <w:rFonts w:asciiTheme="minorEastAsia" w:hAnsiTheme="minorEastAsia" w:hint="eastAsia"/>
          <w:sz w:val="22"/>
        </w:rPr>
        <w:t>35</w:t>
      </w:r>
      <w:r>
        <w:rPr>
          <w:rFonts w:asciiTheme="minorEastAsia" w:hAnsiTheme="minorEastAsia" w:hint="eastAsia"/>
          <w:sz w:val="22"/>
        </w:rPr>
        <w:t>年以上経過している住宅となっている。</w:t>
      </w:r>
    </w:p>
    <w:p w14:paraId="72C9C059" w14:textId="77777777" w:rsidR="00086DAA" w:rsidRDefault="005541F6">
      <w:pPr>
        <w:ind w:firstLineChars="125" w:firstLine="259"/>
        <w:rPr>
          <w:rFonts w:asciiTheme="minorEastAsia" w:hAnsiTheme="minorEastAsia"/>
          <w:sz w:val="22"/>
        </w:rPr>
      </w:pPr>
      <w:r>
        <w:rPr>
          <w:rFonts w:asciiTheme="minorEastAsia" w:hAnsiTheme="minorEastAsia" w:hint="eastAsia"/>
          <w:sz w:val="22"/>
        </w:rPr>
        <w:t>なお、全国の建築の時期別割合をみると、昭和</w:t>
      </w:r>
      <w:r>
        <w:rPr>
          <w:rFonts w:asciiTheme="minorEastAsia" w:hAnsiTheme="minorEastAsia" w:hint="eastAsia"/>
          <w:sz w:val="22"/>
        </w:rPr>
        <w:t>25</w:t>
      </w:r>
      <w:r>
        <w:rPr>
          <w:rFonts w:asciiTheme="minorEastAsia" w:hAnsiTheme="minorEastAsia" w:hint="eastAsia"/>
          <w:sz w:val="22"/>
        </w:rPr>
        <w:t>年以前に建築された住宅は</w:t>
      </w:r>
      <w:r>
        <w:rPr>
          <w:rFonts w:asciiTheme="minorEastAsia" w:hAnsiTheme="minorEastAsia" w:hint="eastAsia"/>
          <w:sz w:val="22"/>
        </w:rPr>
        <w:t>2.8</w:t>
      </w:r>
      <w:r>
        <w:rPr>
          <w:rFonts w:asciiTheme="minorEastAsia" w:hAnsiTheme="minorEastAsia" w:hint="eastAsia"/>
          <w:sz w:val="22"/>
        </w:rPr>
        <w:t>％、昭和</w:t>
      </w:r>
      <w:r>
        <w:rPr>
          <w:rFonts w:asciiTheme="minorEastAsia" w:hAnsiTheme="minorEastAsia" w:hint="eastAsia"/>
          <w:sz w:val="22"/>
        </w:rPr>
        <w:t>26</w:t>
      </w:r>
      <w:r>
        <w:rPr>
          <w:rFonts w:asciiTheme="minorEastAsia" w:hAnsiTheme="minorEastAsia" w:hint="eastAsia"/>
          <w:sz w:val="22"/>
        </w:rPr>
        <w:t>年以降に建築された住宅は</w:t>
      </w:r>
      <w:r>
        <w:rPr>
          <w:rFonts w:asciiTheme="minorEastAsia" w:hAnsiTheme="minorEastAsia" w:hint="eastAsia"/>
          <w:sz w:val="22"/>
        </w:rPr>
        <w:t>97.2</w:t>
      </w:r>
      <w:r>
        <w:rPr>
          <w:rFonts w:asciiTheme="minorEastAsia" w:hAnsiTheme="minorEastAsia" w:hint="eastAsia"/>
          <w:sz w:val="22"/>
        </w:rPr>
        <w:t>％で秋田県とほぼ同じような割合となっている。しかし、平成</w:t>
      </w:r>
      <w:r>
        <w:rPr>
          <w:rFonts w:asciiTheme="minorEastAsia" w:hAnsiTheme="minorEastAsia" w:hint="eastAsia"/>
          <w:sz w:val="22"/>
        </w:rPr>
        <w:t>3</w:t>
      </w:r>
      <w:r>
        <w:rPr>
          <w:rFonts w:asciiTheme="minorEastAsia" w:hAnsiTheme="minorEastAsia" w:hint="eastAsia"/>
          <w:sz w:val="22"/>
        </w:rPr>
        <w:t>年以降に建築された住宅は</w:t>
      </w:r>
      <w:r>
        <w:rPr>
          <w:rFonts w:asciiTheme="minorEastAsia" w:hAnsiTheme="minorEastAsia" w:hint="eastAsia"/>
          <w:sz w:val="22"/>
        </w:rPr>
        <w:t>56.8</w:t>
      </w:r>
      <w:r>
        <w:rPr>
          <w:rFonts w:asciiTheme="minorEastAsia" w:hAnsiTheme="minorEastAsia" w:hint="eastAsia"/>
          <w:sz w:val="22"/>
        </w:rPr>
        <w:t>％となっており、秋田県</w:t>
      </w:r>
      <w:r>
        <w:rPr>
          <w:rFonts w:asciiTheme="minorEastAsia" w:hAnsiTheme="minorEastAsia" w:hint="eastAsia"/>
          <w:sz w:val="22"/>
        </w:rPr>
        <w:t>(49.1</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より</w:t>
      </w:r>
      <w:r>
        <w:rPr>
          <w:rFonts w:asciiTheme="minorEastAsia" w:hAnsiTheme="minorEastAsia" w:hint="eastAsia"/>
          <w:sz w:val="22"/>
        </w:rPr>
        <w:t>7.7</w:t>
      </w:r>
      <w:r>
        <w:rPr>
          <w:rFonts w:asciiTheme="minorEastAsia" w:hAnsiTheme="minorEastAsia" w:hint="eastAsia"/>
          <w:sz w:val="22"/>
        </w:rPr>
        <w:t>ポイント高くなっている。</w:t>
      </w:r>
    </w:p>
    <w:p w14:paraId="40E507C6" w14:textId="493924D0" w:rsidR="00086DAA" w:rsidRDefault="005541F6">
      <w:pPr>
        <w:jc w:val="center"/>
        <w:rPr>
          <w:rFonts w:asciiTheme="minorEastAsia" w:hAnsiTheme="minorEastAsia"/>
          <w:sz w:val="22"/>
        </w:rPr>
      </w:pPr>
      <w:r>
        <w:rPr>
          <w:rFonts w:asciiTheme="minorEastAsia" w:hAnsiTheme="minorEastAsia"/>
          <w:sz w:val="22"/>
        </w:rPr>
        <w:pict w14:anchorId="62D61038">
          <v:shape id="_x0000_i1120" type="#_x0000_t75" style="width:482.4pt;height:309.6pt">
            <v:imagedata r:id="rId49" o:title=""/>
          </v:shape>
        </w:pict>
      </w:r>
    </w:p>
    <w:p w14:paraId="2D681112" w14:textId="77777777" w:rsidR="00086DAA" w:rsidRDefault="005541F6">
      <w:pPr>
        <w:jc w:val="center"/>
        <w:rPr>
          <w:rFonts w:asciiTheme="minorEastAsia" w:hAnsiTheme="minorEastAsia"/>
          <w:sz w:val="24"/>
        </w:rPr>
      </w:pPr>
      <w:r>
        <w:rPr>
          <w:rFonts w:asciiTheme="majorEastAsia" w:eastAsiaTheme="majorEastAsia" w:hAnsiTheme="majorEastAsia"/>
          <w:noProof/>
          <w:sz w:val="16"/>
        </w:rPr>
        <w:drawing>
          <wp:inline distT="0" distB="0" distL="0" distR="0" wp14:anchorId="2E70AF4F" wp14:editId="1C3600C4">
            <wp:extent cx="5760085" cy="2700655"/>
            <wp:effectExtent l="0" t="0" r="12065" b="4445"/>
            <wp:docPr id="107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C63A6B9"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65FFD01C" w14:textId="77777777" w:rsidR="00086DAA" w:rsidRDefault="005541F6">
      <w:pPr>
        <w:jc w:val="left"/>
        <w:rPr>
          <w:rFonts w:asciiTheme="majorEastAsia" w:eastAsiaTheme="majorEastAsia" w:hAnsiTheme="majorEastAsia"/>
          <w:b/>
          <w:sz w:val="28"/>
        </w:rPr>
      </w:pPr>
      <w:r>
        <w:rPr>
          <w:rFonts w:asciiTheme="majorEastAsia" w:eastAsiaTheme="majorEastAsia" w:hAnsiTheme="majorEastAsia" w:hint="eastAsia"/>
          <w:b/>
          <w:sz w:val="28"/>
        </w:rPr>
        <w:lastRenderedPageBreak/>
        <w:t>４　所有の関係</w:t>
      </w:r>
    </w:p>
    <w:p w14:paraId="21DFB843"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年の住宅の所有の関係をみると、持ち家は</w:t>
      </w:r>
      <w:r>
        <w:rPr>
          <w:rFonts w:asciiTheme="minorEastAsia" w:hAnsiTheme="minorEastAsia" w:hint="eastAsia"/>
          <w:sz w:val="22"/>
        </w:rPr>
        <w:t>296,500</w:t>
      </w:r>
      <w:r>
        <w:rPr>
          <w:rFonts w:asciiTheme="minorEastAsia" w:hAnsiTheme="minorEastAsia" w:hint="eastAsia"/>
          <w:sz w:val="22"/>
        </w:rPr>
        <w:t>戸で住宅全体に占める割合（持ち家住宅率）は</w:t>
      </w:r>
      <w:r>
        <w:rPr>
          <w:rFonts w:asciiTheme="minorEastAsia" w:hAnsiTheme="minorEastAsia" w:hint="eastAsia"/>
          <w:sz w:val="22"/>
        </w:rPr>
        <w:t>77.3</w:t>
      </w:r>
      <w:r>
        <w:rPr>
          <w:rFonts w:asciiTheme="minorEastAsia" w:hAnsiTheme="minorEastAsia" w:hint="eastAsia"/>
          <w:sz w:val="22"/>
        </w:rPr>
        <w:t>％となっている。また、借家は</w:t>
      </w:r>
      <w:r>
        <w:rPr>
          <w:rFonts w:asciiTheme="minorEastAsia" w:hAnsiTheme="minorEastAsia" w:hint="eastAsia"/>
          <w:sz w:val="22"/>
        </w:rPr>
        <w:t>83,000</w:t>
      </w:r>
      <w:r>
        <w:rPr>
          <w:rFonts w:asciiTheme="minorEastAsia" w:hAnsiTheme="minorEastAsia" w:hint="eastAsia"/>
          <w:sz w:val="22"/>
        </w:rPr>
        <w:t>戸で住宅全体に占める割合は</w:t>
      </w:r>
      <w:r>
        <w:rPr>
          <w:rFonts w:asciiTheme="minorEastAsia" w:hAnsiTheme="minorEastAsia" w:hint="eastAsia"/>
          <w:sz w:val="22"/>
        </w:rPr>
        <w:t>21.6</w:t>
      </w:r>
      <w:r>
        <w:rPr>
          <w:rFonts w:asciiTheme="minorEastAsia" w:hAnsiTheme="minorEastAsia" w:hint="eastAsia"/>
          <w:sz w:val="22"/>
        </w:rPr>
        <w:t>％となっている。この借家の内訳をみると、民営借家が</w:t>
      </w:r>
      <w:r>
        <w:rPr>
          <w:rFonts w:asciiTheme="minorEastAsia" w:hAnsiTheme="minorEastAsia" w:hint="eastAsia"/>
          <w:sz w:val="22"/>
        </w:rPr>
        <w:t>63,800</w:t>
      </w:r>
      <w:r>
        <w:rPr>
          <w:rFonts w:asciiTheme="minorEastAsia" w:hAnsiTheme="minorEastAsia" w:hint="eastAsia"/>
          <w:sz w:val="22"/>
        </w:rPr>
        <w:t>戸</w:t>
      </w:r>
      <w:r>
        <w:rPr>
          <w:rFonts w:asciiTheme="minorEastAsia" w:hAnsiTheme="minorEastAsia" w:hint="eastAsia"/>
          <w:sz w:val="22"/>
        </w:rPr>
        <w:t>(16.6</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で最も多くなっている。</w:t>
      </w:r>
    </w:p>
    <w:p w14:paraId="1EACA002"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また、平成</w:t>
      </w:r>
      <w:r>
        <w:rPr>
          <w:rFonts w:asciiTheme="minorEastAsia" w:hAnsiTheme="minorEastAsia" w:hint="eastAsia"/>
          <w:sz w:val="22"/>
        </w:rPr>
        <w:t>30</w:t>
      </w:r>
      <w:r>
        <w:rPr>
          <w:rFonts w:asciiTheme="minorEastAsia" w:hAnsiTheme="minorEastAsia" w:hint="eastAsia"/>
          <w:sz w:val="22"/>
        </w:rPr>
        <w:t>年の持ち家住宅率を住宅の建て方別にみると、一戸建は</w:t>
      </w:r>
      <w:r>
        <w:rPr>
          <w:rFonts w:asciiTheme="minorEastAsia" w:hAnsiTheme="minorEastAsia" w:hint="eastAsia"/>
          <w:sz w:val="22"/>
        </w:rPr>
        <w:t>94.8</w:t>
      </w:r>
      <w:r>
        <w:rPr>
          <w:rFonts w:asciiTheme="minorEastAsia" w:hAnsiTheme="minorEastAsia" w:hint="eastAsia"/>
          <w:sz w:val="22"/>
        </w:rPr>
        <w:t>％、長屋建は</w:t>
      </w:r>
      <w:r>
        <w:rPr>
          <w:rFonts w:asciiTheme="minorEastAsia" w:hAnsiTheme="minorEastAsia" w:hint="eastAsia"/>
          <w:sz w:val="22"/>
        </w:rPr>
        <w:t>5.7</w:t>
      </w:r>
      <w:r>
        <w:rPr>
          <w:rFonts w:asciiTheme="minorEastAsia" w:hAnsiTheme="minorEastAsia" w:hint="eastAsia"/>
          <w:sz w:val="22"/>
        </w:rPr>
        <w:t>％、共同住宅は</w:t>
      </w:r>
      <w:r>
        <w:rPr>
          <w:rFonts w:asciiTheme="minorEastAsia" w:hAnsiTheme="minorEastAsia" w:hint="eastAsia"/>
          <w:sz w:val="22"/>
        </w:rPr>
        <w:t>7.9</w:t>
      </w:r>
      <w:r>
        <w:rPr>
          <w:rFonts w:asciiTheme="minorEastAsia" w:hAnsiTheme="minorEastAsia" w:hint="eastAsia"/>
          <w:sz w:val="22"/>
        </w:rPr>
        <w:t>％となっている。一戸建では持ち家が</w:t>
      </w:r>
      <w:r>
        <w:rPr>
          <w:rFonts w:asciiTheme="minorEastAsia" w:hAnsiTheme="minorEastAsia" w:hint="eastAsia"/>
          <w:sz w:val="22"/>
        </w:rPr>
        <w:t>9</w:t>
      </w:r>
      <w:r>
        <w:rPr>
          <w:rFonts w:asciiTheme="minorEastAsia" w:hAnsiTheme="minorEastAsia" w:hint="eastAsia"/>
          <w:sz w:val="22"/>
        </w:rPr>
        <w:t>割を超えているが</w:t>
      </w:r>
      <w:r>
        <w:rPr>
          <w:rFonts w:asciiTheme="minorEastAsia" w:hAnsiTheme="minorEastAsia" w:hint="eastAsia"/>
          <w:sz w:val="22"/>
        </w:rPr>
        <w:t>、長屋建や共同住宅では持ち家より借家の割合が高く、借家の割合はいずれも</w:t>
      </w:r>
      <w:r>
        <w:rPr>
          <w:rFonts w:asciiTheme="minorEastAsia" w:hAnsiTheme="minorEastAsia" w:hint="eastAsia"/>
          <w:sz w:val="22"/>
        </w:rPr>
        <w:t>9</w:t>
      </w:r>
      <w:r>
        <w:rPr>
          <w:rFonts w:asciiTheme="minorEastAsia" w:hAnsiTheme="minorEastAsia" w:hint="eastAsia"/>
          <w:sz w:val="22"/>
        </w:rPr>
        <w:t>割近くになっている。</w:t>
      </w:r>
    </w:p>
    <w:p w14:paraId="5F833302"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なお、所有の関係別に住宅の建て方別割合をみると、持ち家では一戸建の割合が</w:t>
      </w:r>
      <w:r>
        <w:rPr>
          <w:rFonts w:asciiTheme="minorEastAsia" w:hAnsiTheme="minorEastAsia" w:hint="eastAsia"/>
          <w:sz w:val="22"/>
        </w:rPr>
        <w:t>97.9</w:t>
      </w:r>
      <w:r>
        <w:rPr>
          <w:rFonts w:asciiTheme="minorEastAsia" w:hAnsiTheme="minorEastAsia" w:hint="eastAsia"/>
          <w:sz w:val="22"/>
        </w:rPr>
        <w:t>％で突出しているが、借家では共同住宅が</w:t>
      </w:r>
      <w:r>
        <w:rPr>
          <w:rFonts w:asciiTheme="minorEastAsia" w:hAnsiTheme="minorEastAsia" w:hint="eastAsia"/>
          <w:sz w:val="22"/>
        </w:rPr>
        <w:t>72.8</w:t>
      </w:r>
      <w:r>
        <w:rPr>
          <w:rFonts w:asciiTheme="minorEastAsia" w:hAnsiTheme="minorEastAsia" w:hint="eastAsia"/>
          <w:sz w:val="22"/>
        </w:rPr>
        <w:t>％で最も多く、一戸建は</w:t>
      </w:r>
      <w:r>
        <w:rPr>
          <w:rFonts w:asciiTheme="minorEastAsia" w:hAnsiTheme="minorEastAsia" w:hint="eastAsia"/>
          <w:sz w:val="22"/>
        </w:rPr>
        <w:t>17.5</w:t>
      </w:r>
      <w:r>
        <w:rPr>
          <w:rFonts w:asciiTheme="minorEastAsia" w:hAnsiTheme="minorEastAsia" w:hint="eastAsia"/>
          <w:sz w:val="22"/>
        </w:rPr>
        <w:t>％となっている。</w:t>
      </w:r>
    </w:p>
    <w:p w14:paraId="4748BC1A" w14:textId="2EAF4076" w:rsidR="00086DAA" w:rsidRDefault="005541F6">
      <w:pPr>
        <w:ind w:firstLineChars="124" w:firstLine="245"/>
        <w:jc w:val="center"/>
        <w:rPr>
          <w:rFonts w:asciiTheme="minorEastAsia" w:hAnsiTheme="minorEastAsia"/>
          <w:sz w:val="22"/>
        </w:rPr>
      </w:pPr>
      <w:r>
        <w:rPr>
          <w:noProof/>
        </w:rPr>
        <w:drawing>
          <wp:anchor distT="0" distB="0" distL="114300" distR="114300" simplePos="0" relativeHeight="34" behindDoc="0" locked="0" layoutInCell="1" hidden="0" allowOverlap="1" wp14:anchorId="5353946B" wp14:editId="3CC66BC8">
            <wp:simplePos x="0" y="0"/>
            <wp:positionH relativeFrom="margin">
              <wp:align>left</wp:align>
            </wp:positionH>
            <wp:positionV relativeFrom="paragraph">
              <wp:posOffset>4424045</wp:posOffset>
            </wp:positionV>
            <wp:extent cx="2843530" cy="2843530"/>
            <wp:effectExtent l="0" t="0" r="13970" b="13970"/>
            <wp:wrapSquare wrapText="bothSides"/>
            <wp:docPr id="107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Pr>
          <w:rFonts w:asciiTheme="minorEastAsia" w:hAnsiTheme="minorEastAsia"/>
          <w:sz w:val="22"/>
        </w:rPr>
        <w:pict w14:anchorId="14702E5C">
          <v:shape id="_x0000_i1118" type="#_x0000_t75" style="width:352.8pt;height:338.4pt">
            <v:imagedata r:id="rId52" o:title=""/>
          </v:shape>
        </w:pict>
      </w:r>
    </w:p>
    <w:p w14:paraId="4C650C42" w14:textId="77777777" w:rsidR="00086DAA" w:rsidRDefault="005541F6">
      <w:pPr>
        <w:jc w:val="left"/>
        <w:rPr>
          <w:rFonts w:asciiTheme="minorEastAsia" w:hAnsiTheme="minorEastAsia"/>
          <w:sz w:val="24"/>
        </w:rPr>
      </w:pPr>
      <w:r>
        <w:rPr>
          <w:noProof/>
        </w:rPr>
        <w:drawing>
          <wp:anchor distT="0" distB="0" distL="114300" distR="114300" simplePos="0" relativeHeight="59" behindDoc="0" locked="0" layoutInCell="1" hidden="0" allowOverlap="1" wp14:anchorId="37B950DD" wp14:editId="5B3F0DDD">
            <wp:simplePos x="0" y="0"/>
            <wp:positionH relativeFrom="margin">
              <wp:align>right</wp:align>
            </wp:positionH>
            <wp:positionV relativeFrom="paragraph">
              <wp:posOffset>44450</wp:posOffset>
            </wp:positionV>
            <wp:extent cx="2843530" cy="2843530"/>
            <wp:effectExtent l="0" t="0" r="13970" b="13970"/>
            <wp:wrapSquare wrapText="bothSides"/>
            <wp:docPr id="107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14:paraId="5B941F82" w14:textId="77777777" w:rsidR="00086DAA" w:rsidRDefault="00086DAA">
      <w:pPr>
        <w:jc w:val="left"/>
        <w:rPr>
          <w:rFonts w:asciiTheme="minorEastAsia" w:hAnsiTheme="minorEastAsia"/>
          <w:sz w:val="24"/>
        </w:rPr>
      </w:pPr>
    </w:p>
    <w:p w14:paraId="5C89AEC4" w14:textId="77777777" w:rsidR="00086DAA" w:rsidRDefault="00086DAA">
      <w:pPr>
        <w:jc w:val="left"/>
        <w:rPr>
          <w:rFonts w:asciiTheme="minorEastAsia" w:hAnsiTheme="minorEastAsia"/>
          <w:sz w:val="24"/>
        </w:rPr>
      </w:pPr>
    </w:p>
    <w:p w14:paraId="29028EAA" w14:textId="77777777" w:rsidR="00086DAA" w:rsidRDefault="00086DAA">
      <w:pPr>
        <w:rPr>
          <w:rFonts w:asciiTheme="minorEastAsia" w:hAnsiTheme="minorEastAsia"/>
          <w:sz w:val="24"/>
        </w:rPr>
      </w:pPr>
    </w:p>
    <w:p w14:paraId="6227D417" w14:textId="77777777" w:rsidR="00086DAA" w:rsidRDefault="00086DAA">
      <w:pPr>
        <w:rPr>
          <w:rFonts w:asciiTheme="minorEastAsia" w:hAnsiTheme="minorEastAsia"/>
          <w:sz w:val="24"/>
        </w:rPr>
      </w:pPr>
    </w:p>
    <w:p w14:paraId="2D00695F" w14:textId="77777777" w:rsidR="00086DAA" w:rsidRDefault="00086DAA">
      <w:pPr>
        <w:rPr>
          <w:rFonts w:asciiTheme="minorEastAsia" w:hAnsiTheme="minorEastAsia"/>
          <w:sz w:val="24"/>
        </w:rPr>
      </w:pPr>
    </w:p>
    <w:p w14:paraId="03D73463" w14:textId="77777777" w:rsidR="00086DAA" w:rsidRDefault="00086DAA">
      <w:pPr>
        <w:rPr>
          <w:rFonts w:asciiTheme="minorEastAsia" w:hAnsiTheme="minorEastAsia"/>
          <w:sz w:val="24"/>
        </w:rPr>
      </w:pPr>
    </w:p>
    <w:p w14:paraId="72016964" w14:textId="77777777" w:rsidR="00086DAA" w:rsidRDefault="00086DAA">
      <w:pPr>
        <w:rPr>
          <w:rFonts w:asciiTheme="minorEastAsia" w:hAnsiTheme="minorEastAsia"/>
          <w:sz w:val="24"/>
        </w:rPr>
      </w:pPr>
    </w:p>
    <w:p w14:paraId="3B3520B5" w14:textId="77777777" w:rsidR="00086DAA" w:rsidRDefault="00086DAA">
      <w:pPr>
        <w:rPr>
          <w:rFonts w:asciiTheme="minorEastAsia" w:hAnsiTheme="minorEastAsia"/>
          <w:sz w:val="24"/>
        </w:rPr>
      </w:pPr>
    </w:p>
    <w:p w14:paraId="00349181" w14:textId="77777777" w:rsidR="00086DAA" w:rsidRDefault="00086DAA">
      <w:pPr>
        <w:rPr>
          <w:rFonts w:asciiTheme="minorEastAsia" w:hAnsiTheme="minorEastAsia"/>
          <w:sz w:val="24"/>
        </w:rPr>
      </w:pPr>
    </w:p>
    <w:p w14:paraId="7BBEBBDB" w14:textId="77777777" w:rsidR="00086DAA" w:rsidRDefault="00086DAA">
      <w:pPr>
        <w:rPr>
          <w:rFonts w:asciiTheme="minorEastAsia" w:hAnsiTheme="minorEastAsia"/>
          <w:sz w:val="24"/>
        </w:rPr>
      </w:pPr>
    </w:p>
    <w:p w14:paraId="5F39B107" w14:textId="77777777" w:rsidR="00086DAA" w:rsidRDefault="00086DAA">
      <w:pPr>
        <w:rPr>
          <w:rFonts w:asciiTheme="minorEastAsia" w:hAnsiTheme="minorEastAsia"/>
          <w:sz w:val="24"/>
        </w:rPr>
      </w:pPr>
    </w:p>
    <w:p w14:paraId="43493422" w14:textId="77777777" w:rsidR="00086DAA" w:rsidRDefault="00086DAA">
      <w:pPr>
        <w:rPr>
          <w:rFonts w:asciiTheme="minorEastAsia" w:hAnsiTheme="minorEastAsia"/>
          <w:sz w:val="24"/>
        </w:rPr>
      </w:pPr>
    </w:p>
    <w:p w14:paraId="6A61C6FA" w14:textId="77777777" w:rsidR="00086DAA" w:rsidRDefault="00086DAA">
      <w:pPr>
        <w:rPr>
          <w:rFonts w:asciiTheme="minorEastAsia" w:hAnsiTheme="minorEastAsia"/>
          <w:sz w:val="24"/>
        </w:rPr>
      </w:pPr>
    </w:p>
    <w:p w14:paraId="441B61BA" w14:textId="77777777" w:rsidR="00086DAA" w:rsidRDefault="00086DAA">
      <w:pPr>
        <w:ind w:firstLineChars="125" w:firstLine="259"/>
        <w:jc w:val="left"/>
        <w:rPr>
          <w:rFonts w:asciiTheme="minorEastAsia" w:hAnsiTheme="minorEastAsia"/>
          <w:sz w:val="22"/>
        </w:rPr>
      </w:pPr>
    </w:p>
    <w:p w14:paraId="6980EE8A"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年の持ち家住宅率を都道府県別にみると、秋田県の</w:t>
      </w:r>
      <w:r>
        <w:rPr>
          <w:rFonts w:asciiTheme="minorEastAsia" w:hAnsiTheme="minorEastAsia" w:hint="eastAsia"/>
          <w:sz w:val="22"/>
        </w:rPr>
        <w:t>77.3</w:t>
      </w:r>
      <w:r>
        <w:rPr>
          <w:rFonts w:asciiTheme="minorEastAsia" w:hAnsiTheme="minorEastAsia" w:hint="eastAsia"/>
          <w:sz w:val="22"/>
        </w:rPr>
        <w:t>％で全国第１位、全国平均の</w:t>
      </w:r>
      <w:r>
        <w:rPr>
          <w:rFonts w:asciiTheme="minorEastAsia" w:hAnsiTheme="minorEastAsia" w:hint="eastAsia"/>
          <w:sz w:val="22"/>
        </w:rPr>
        <w:t>61.2</w:t>
      </w:r>
      <w:r>
        <w:rPr>
          <w:rFonts w:asciiTheme="minorEastAsia" w:hAnsiTheme="minorEastAsia" w:hint="eastAsia"/>
          <w:sz w:val="22"/>
        </w:rPr>
        <w:t>％に比べ</w:t>
      </w:r>
      <w:r>
        <w:rPr>
          <w:rFonts w:asciiTheme="minorEastAsia" w:hAnsiTheme="minorEastAsia" w:hint="eastAsia"/>
          <w:sz w:val="22"/>
        </w:rPr>
        <w:t>16.1</w:t>
      </w:r>
      <w:r>
        <w:rPr>
          <w:rFonts w:asciiTheme="minorEastAsia" w:hAnsiTheme="minorEastAsia" w:hint="eastAsia"/>
          <w:sz w:val="22"/>
        </w:rPr>
        <w:t>ポイント上回っている。</w:t>
      </w:r>
    </w:p>
    <w:p w14:paraId="124C1966" w14:textId="77777777" w:rsidR="00086DAA" w:rsidRDefault="00086DAA">
      <w:pPr>
        <w:ind w:firstLineChars="125" w:firstLine="259"/>
        <w:jc w:val="left"/>
        <w:rPr>
          <w:rFonts w:asciiTheme="minorEastAsia" w:hAnsiTheme="minorEastAsia"/>
          <w:sz w:val="22"/>
        </w:rPr>
      </w:pPr>
    </w:p>
    <w:p w14:paraId="0C771BCD" w14:textId="77777777" w:rsidR="00086DAA" w:rsidRDefault="00086DAA">
      <w:pPr>
        <w:ind w:firstLineChars="125" w:firstLine="259"/>
        <w:jc w:val="left"/>
        <w:rPr>
          <w:rFonts w:asciiTheme="minorEastAsia" w:hAnsiTheme="minorEastAsia"/>
          <w:sz w:val="22"/>
        </w:rPr>
      </w:pPr>
    </w:p>
    <w:p w14:paraId="50722E5C" w14:textId="77777777" w:rsidR="00086DAA" w:rsidRDefault="005541F6">
      <w:pPr>
        <w:jc w:val="center"/>
        <w:rPr>
          <w:rFonts w:asciiTheme="minorEastAsia" w:hAnsiTheme="minorEastAsia"/>
          <w:sz w:val="24"/>
        </w:rPr>
      </w:pPr>
      <w:r>
        <w:rPr>
          <w:noProof/>
        </w:rPr>
        <w:drawing>
          <wp:inline distT="0" distB="0" distL="0" distR="0" wp14:anchorId="0C0DDD5B" wp14:editId="34274DD9">
            <wp:extent cx="5651500" cy="2447925"/>
            <wp:effectExtent l="0" t="0" r="6350" b="9525"/>
            <wp:docPr id="107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76963AD"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3121BF09" w14:textId="77777777" w:rsidR="00086DAA" w:rsidRDefault="005541F6">
      <w:pPr>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５　住宅の規模</w:t>
      </w:r>
    </w:p>
    <w:p w14:paraId="76AA9847"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居住専用に建築された住宅（専用住宅）について、住宅の規模を示す各指標の平成</w:t>
      </w:r>
      <w:r>
        <w:rPr>
          <w:rFonts w:asciiTheme="minorEastAsia" w:hAnsiTheme="minorEastAsia" w:hint="eastAsia"/>
          <w:sz w:val="22"/>
        </w:rPr>
        <w:t>30</w:t>
      </w:r>
      <w:r>
        <w:rPr>
          <w:rFonts w:asciiTheme="minorEastAsia" w:hAnsiTheme="minorEastAsia" w:hint="eastAsia"/>
          <w:sz w:val="22"/>
        </w:rPr>
        <w:t>年の数値をみると、</w:t>
      </w:r>
      <w:r>
        <w:rPr>
          <w:rFonts w:asciiTheme="minorEastAsia" w:hAnsiTheme="minorEastAsia" w:hint="eastAsia"/>
          <w:sz w:val="22"/>
        </w:rPr>
        <w:t>1</w:t>
      </w:r>
      <w:r>
        <w:rPr>
          <w:rFonts w:asciiTheme="minorEastAsia" w:hAnsiTheme="minorEastAsia" w:hint="eastAsia"/>
          <w:sz w:val="22"/>
        </w:rPr>
        <w:t>住宅当たり居住室数は</w:t>
      </w:r>
      <w:r>
        <w:rPr>
          <w:rFonts w:asciiTheme="minorEastAsia" w:hAnsiTheme="minorEastAsia" w:hint="eastAsia"/>
          <w:sz w:val="22"/>
        </w:rPr>
        <w:t>5.61</w:t>
      </w:r>
      <w:r>
        <w:rPr>
          <w:rFonts w:asciiTheme="minorEastAsia" w:hAnsiTheme="minorEastAsia" w:hint="eastAsia"/>
          <w:sz w:val="22"/>
        </w:rPr>
        <w:t>室で平成</w:t>
      </w:r>
      <w:r>
        <w:rPr>
          <w:rFonts w:asciiTheme="minorEastAsia" w:hAnsiTheme="minorEastAsia" w:hint="eastAsia"/>
          <w:sz w:val="22"/>
        </w:rPr>
        <w:t>25</w:t>
      </w:r>
      <w:r>
        <w:rPr>
          <w:rFonts w:asciiTheme="minorEastAsia" w:hAnsiTheme="minorEastAsia" w:hint="eastAsia"/>
          <w:sz w:val="22"/>
        </w:rPr>
        <w:t>年に比べ</w:t>
      </w:r>
      <w:r>
        <w:rPr>
          <w:rFonts w:asciiTheme="minorEastAsia" w:hAnsiTheme="minorEastAsia" w:hint="eastAsia"/>
          <w:sz w:val="22"/>
        </w:rPr>
        <w:t>0.27</w:t>
      </w:r>
      <w:r>
        <w:rPr>
          <w:rFonts w:asciiTheme="minorEastAsia" w:hAnsiTheme="minorEastAsia" w:hint="eastAsia"/>
          <w:sz w:val="22"/>
        </w:rPr>
        <w:t>室の減少、居住室の畳数は</w:t>
      </w:r>
      <w:r>
        <w:rPr>
          <w:rFonts w:asciiTheme="minorEastAsia" w:hAnsiTheme="minorEastAsia" w:hint="eastAsia"/>
          <w:sz w:val="22"/>
        </w:rPr>
        <w:t>44.14</w:t>
      </w:r>
      <w:r>
        <w:rPr>
          <w:rFonts w:asciiTheme="minorEastAsia" w:hAnsiTheme="minorEastAsia" w:hint="eastAsia"/>
          <w:sz w:val="22"/>
        </w:rPr>
        <w:t>畳で同じく</w:t>
      </w:r>
      <w:r>
        <w:rPr>
          <w:rFonts w:asciiTheme="minorEastAsia" w:hAnsiTheme="minorEastAsia" w:hint="eastAsia"/>
          <w:sz w:val="22"/>
        </w:rPr>
        <w:t>1.30</w:t>
      </w:r>
      <w:r>
        <w:rPr>
          <w:rFonts w:asciiTheme="minorEastAsia" w:hAnsiTheme="minorEastAsia" w:hint="eastAsia"/>
          <w:sz w:val="22"/>
        </w:rPr>
        <w:t>畳の減少、延べ面積（居住室のほか玄関、トイレ、台所などを含めた床面積の合計）は</w:t>
      </w:r>
      <w:r>
        <w:rPr>
          <w:rFonts w:asciiTheme="minorEastAsia" w:hAnsiTheme="minorEastAsia" w:hint="eastAsia"/>
          <w:sz w:val="22"/>
        </w:rPr>
        <w:t>130.41</w:t>
      </w:r>
      <w:r>
        <w:rPr>
          <w:rFonts w:asciiTheme="minorEastAsia" w:hAnsiTheme="minorEastAsia" w:hint="eastAsia"/>
          <w:sz w:val="22"/>
        </w:rPr>
        <w:t>㎡で同じく</w:t>
      </w:r>
      <w:r>
        <w:rPr>
          <w:rFonts w:asciiTheme="minorEastAsia" w:hAnsiTheme="minorEastAsia" w:hint="eastAsia"/>
          <w:sz w:val="22"/>
        </w:rPr>
        <w:t>6.17</w:t>
      </w:r>
      <w:r>
        <w:rPr>
          <w:rFonts w:asciiTheme="minorEastAsia" w:hAnsiTheme="minorEastAsia" w:hint="eastAsia"/>
          <w:sz w:val="22"/>
        </w:rPr>
        <w:t>㎡の減少となっている。居住室数と延べ面積は昭和</w:t>
      </w:r>
      <w:r>
        <w:rPr>
          <w:rFonts w:asciiTheme="minorEastAsia" w:hAnsiTheme="minorEastAsia" w:hint="eastAsia"/>
          <w:sz w:val="22"/>
        </w:rPr>
        <w:t>63</w:t>
      </w:r>
      <w:r>
        <w:rPr>
          <w:rFonts w:asciiTheme="minorEastAsia" w:hAnsiTheme="minorEastAsia" w:hint="eastAsia"/>
          <w:sz w:val="22"/>
        </w:rPr>
        <w:t>年以降で最小となっているが、各指標とも全国を大きく上回っている。</w:t>
      </w:r>
    </w:p>
    <w:p w14:paraId="09A0DE19"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また、専用住宅の所有の関係別に</w:t>
      </w:r>
      <w:r>
        <w:rPr>
          <w:rFonts w:asciiTheme="minorEastAsia" w:hAnsiTheme="minorEastAsia" w:hint="eastAsia"/>
          <w:sz w:val="22"/>
        </w:rPr>
        <w:t>1</w:t>
      </w:r>
      <w:r>
        <w:rPr>
          <w:rFonts w:asciiTheme="minorEastAsia" w:hAnsiTheme="minorEastAsia" w:hint="eastAsia"/>
          <w:sz w:val="22"/>
        </w:rPr>
        <w:t>住宅当たり延べ面積をみると、持ち家が</w:t>
      </w:r>
      <w:r>
        <w:rPr>
          <w:rFonts w:asciiTheme="minorEastAsia" w:hAnsiTheme="minorEastAsia" w:hint="eastAsia"/>
          <w:sz w:val="22"/>
        </w:rPr>
        <w:t>153.22</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7.22</w:t>
      </w:r>
      <w:r>
        <w:rPr>
          <w:rFonts w:asciiTheme="minorEastAsia" w:hAnsiTheme="minorEastAsia" w:hint="eastAsia"/>
          <w:sz w:val="22"/>
        </w:rPr>
        <w:t>㎡の減少、借家は</w:t>
      </w:r>
      <w:r>
        <w:rPr>
          <w:rFonts w:asciiTheme="minorEastAsia" w:hAnsiTheme="minorEastAsia" w:hint="eastAsia"/>
          <w:sz w:val="22"/>
        </w:rPr>
        <w:t>51.40</w:t>
      </w:r>
      <w:r>
        <w:rPr>
          <w:rFonts w:asciiTheme="minorEastAsia" w:hAnsiTheme="minorEastAsia" w:hint="eastAsia"/>
          <w:sz w:val="22"/>
        </w:rPr>
        <w:t>㎡で</w:t>
      </w:r>
      <w:r>
        <w:rPr>
          <w:rFonts w:asciiTheme="minorEastAsia" w:hAnsiTheme="minorEastAsia" w:hint="eastAsia"/>
          <w:sz w:val="22"/>
        </w:rPr>
        <w:t>0.92</w:t>
      </w:r>
      <w:r>
        <w:rPr>
          <w:rFonts w:asciiTheme="minorEastAsia" w:hAnsiTheme="minorEastAsia" w:hint="eastAsia"/>
          <w:sz w:val="22"/>
        </w:rPr>
        <w:t>㎡の</w:t>
      </w:r>
      <w:r>
        <w:rPr>
          <w:rFonts w:asciiTheme="minorEastAsia" w:hAnsiTheme="minorEastAsia" w:hint="eastAsia"/>
          <w:sz w:val="22"/>
        </w:rPr>
        <w:tab/>
      </w:r>
      <w:r>
        <w:rPr>
          <w:rFonts w:asciiTheme="minorEastAsia" w:hAnsiTheme="minorEastAsia" w:hint="eastAsia"/>
          <w:sz w:val="22"/>
        </w:rPr>
        <w:t>増加となっていて、持ち家の延べ面積は借家の約</w:t>
      </w:r>
      <w:r>
        <w:rPr>
          <w:rFonts w:asciiTheme="minorEastAsia" w:hAnsiTheme="minorEastAsia" w:hint="eastAsia"/>
          <w:sz w:val="22"/>
        </w:rPr>
        <w:t>3</w:t>
      </w:r>
      <w:r>
        <w:rPr>
          <w:rFonts w:asciiTheme="minorEastAsia" w:hAnsiTheme="minorEastAsia" w:hint="eastAsia"/>
          <w:sz w:val="22"/>
        </w:rPr>
        <w:t>倍となっている。</w:t>
      </w:r>
    </w:p>
    <w:p w14:paraId="7B7513C2" w14:textId="73979A46" w:rsidR="00086DAA" w:rsidRDefault="005541F6">
      <w:pPr>
        <w:jc w:val="center"/>
        <w:rPr>
          <w:rFonts w:asciiTheme="minorEastAsia" w:hAnsiTheme="minorEastAsia"/>
          <w:sz w:val="24"/>
        </w:rPr>
      </w:pPr>
      <w:hyperlink r:id="rId55" w:history="1">
        <w:r>
          <w:rPr>
            <w:rFonts w:asciiTheme="minorEastAsia" w:hAnsiTheme="minorEastAsia"/>
            <w:sz w:val="24"/>
          </w:rPr>
          <w:pict w14:anchorId="60C152F0">
            <v:shape id="_x0000_i1116" type="#_x0000_t75" style="width:367.2pt;height:172.8pt">
              <v:imagedata r:id="rId56" o:title=""/>
            </v:shape>
          </w:pict>
        </w:r>
      </w:hyperlink>
    </w:p>
    <w:p w14:paraId="5583FFE6" w14:textId="77777777" w:rsidR="00086DAA" w:rsidRDefault="005541F6">
      <w:pPr>
        <w:ind w:leftChars="216" w:left="426"/>
        <w:jc w:val="center"/>
        <w:rPr>
          <w:rFonts w:asciiTheme="majorEastAsia" w:eastAsiaTheme="majorEastAsia" w:hAnsiTheme="majorEastAsia"/>
          <w:b/>
          <w:sz w:val="16"/>
        </w:rPr>
      </w:pPr>
      <w:r>
        <w:rPr>
          <w:rFonts w:asciiTheme="majorEastAsia" w:eastAsiaTheme="majorEastAsia" w:hAnsiTheme="majorEastAsia" w:hint="eastAsia"/>
          <w:b/>
          <w:sz w:val="16"/>
        </w:rPr>
        <w:t>図８－１　専用住宅の規模―全国、秋田県（平成</w:t>
      </w:r>
      <w:r>
        <w:rPr>
          <w:rFonts w:asciiTheme="majorEastAsia" w:eastAsiaTheme="majorEastAsia" w:hAnsiTheme="majorEastAsia" w:hint="eastAsia"/>
          <w:b/>
          <w:sz w:val="16"/>
        </w:rPr>
        <w:t>30</w:t>
      </w:r>
      <w:r>
        <w:rPr>
          <w:rFonts w:asciiTheme="majorEastAsia" w:eastAsiaTheme="majorEastAsia" w:hAnsiTheme="majorEastAsia" w:hint="eastAsia"/>
          <w:b/>
          <w:sz w:val="16"/>
        </w:rPr>
        <w:t>年）</w:t>
      </w:r>
    </w:p>
    <w:p w14:paraId="43FCEF4C" w14:textId="025A9C75" w:rsidR="00086DAA" w:rsidRDefault="005541F6">
      <w:pPr>
        <w:ind w:leftChars="216" w:left="426"/>
        <w:jc w:val="center"/>
        <w:rPr>
          <w:rFonts w:asciiTheme="majorEastAsia" w:eastAsiaTheme="majorEastAsia" w:hAnsiTheme="majorEastAsia"/>
          <w:b/>
          <w:sz w:val="16"/>
        </w:rPr>
      </w:pPr>
      <w:r>
        <w:rPr>
          <w:noProof/>
        </w:rPr>
        <w:drawing>
          <wp:inline distT="0" distB="0" distL="0" distR="0" wp14:anchorId="20235631" wp14:editId="1C959DD6">
            <wp:extent cx="1727835" cy="1439545"/>
            <wp:effectExtent l="0" t="0" r="5715" b="8255"/>
            <wp:docPr id="107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Pr>
          <w:noProof/>
        </w:rPr>
        <w:drawing>
          <wp:inline distT="0" distB="0" distL="0" distR="0" wp14:anchorId="6A5D1683" wp14:editId="2B7BEF0C">
            <wp:extent cx="1727835" cy="1439545"/>
            <wp:effectExtent l="0" t="0" r="5715" b="8255"/>
            <wp:docPr id="1079"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noProof/>
        </w:rPr>
        <w:drawing>
          <wp:inline distT="0" distB="0" distL="0" distR="0" wp14:anchorId="6F383A5A" wp14:editId="105F301E">
            <wp:extent cx="1727835" cy="1439545"/>
            <wp:effectExtent l="0" t="0" r="5715" b="8255"/>
            <wp:docPr id="108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rFonts w:asciiTheme="minorEastAsia" w:hAnsiTheme="minorEastAsia"/>
          <w:sz w:val="24"/>
        </w:rPr>
        <w:pict w14:anchorId="0D6F4FF2">
          <v:shape id="_x0000_i1114" type="#_x0000_t75" style="width:381.6pt;height:64.8pt">
            <v:imagedata r:id="rId60" o:title=""/>
          </v:shape>
        </w:pict>
      </w:r>
    </w:p>
    <w:p w14:paraId="59752128" w14:textId="77777777" w:rsidR="00086DAA" w:rsidRDefault="005541F6">
      <w:pPr>
        <w:jc w:val="left"/>
        <w:rPr>
          <w:rFonts w:asciiTheme="minorEastAsia" w:hAnsiTheme="minorEastAsia"/>
          <w:sz w:val="24"/>
        </w:rPr>
      </w:pPr>
      <w:r>
        <w:rPr>
          <w:noProof/>
        </w:rPr>
        <w:drawing>
          <wp:anchor distT="0" distB="0" distL="114300" distR="114300" simplePos="0" relativeHeight="67" behindDoc="1" locked="0" layoutInCell="1" hidden="0" allowOverlap="1" wp14:anchorId="3CD06AFD" wp14:editId="6F5A89E3">
            <wp:simplePos x="0" y="0"/>
            <wp:positionH relativeFrom="column">
              <wp:posOffset>1090295</wp:posOffset>
            </wp:positionH>
            <wp:positionV relativeFrom="paragraph">
              <wp:posOffset>67310</wp:posOffset>
            </wp:positionV>
            <wp:extent cx="4263390" cy="2159635"/>
            <wp:effectExtent l="0" t="0" r="3810" b="12065"/>
            <wp:wrapSquare wrapText="bothSides"/>
            <wp:docPr id="108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14:paraId="7D85E09B" w14:textId="77777777" w:rsidR="00086DAA" w:rsidRDefault="00086DAA">
      <w:pPr>
        <w:jc w:val="left"/>
        <w:rPr>
          <w:rFonts w:asciiTheme="minorEastAsia" w:hAnsiTheme="minorEastAsia"/>
          <w:sz w:val="24"/>
        </w:rPr>
      </w:pPr>
    </w:p>
    <w:p w14:paraId="14069BCA" w14:textId="77777777" w:rsidR="00086DAA" w:rsidRDefault="00086DAA">
      <w:pPr>
        <w:jc w:val="left"/>
        <w:rPr>
          <w:rFonts w:asciiTheme="minorEastAsia" w:hAnsiTheme="minorEastAsia"/>
          <w:sz w:val="24"/>
        </w:rPr>
      </w:pPr>
    </w:p>
    <w:p w14:paraId="5C934310" w14:textId="77777777" w:rsidR="00086DAA" w:rsidRDefault="00086DAA">
      <w:pPr>
        <w:jc w:val="left"/>
        <w:rPr>
          <w:rFonts w:asciiTheme="minorEastAsia" w:hAnsiTheme="minorEastAsia"/>
          <w:sz w:val="24"/>
        </w:rPr>
      </w:pPr>
    </w:p>
    <w:p w14:paraId="18809CE0" w14:textId="77777777" w:rsidR="00086DAA" w:rsidRDefault="00086DAA">
      <w:pPr>
        <w:jc w:val="left"/>
        <w:rPr>
          <w:rFonts w:asciiTheme="minorEastAsia" w:hAnsiTheme="minorEastAsia"/>
          <w:sz w:val="24"/>
        </w:rPr>
      </w:pPr>
    </w:p>
    <w:p w14:paraId="190EEB9C" w14:textId="77777777" w:rsidR="00086DAA" w:rsidRDefault="00086DAA">
      <w:pPr>
        <w:jc w:val="left"/>
        <w:rPr>
          <w:rFonts w:asciiTheme="minorEastAsia" w:hAnsiTheme="minorEastAsia"/>
          <w:sz w:val="24"/>
        </w:rPr>
      </w:pPr>
    </w:p>
    <w:p w14:paraId="6C7175EB" w14:textId="77777777" w:rsidR="00086DAA" w:rsidRDefault="00086DAA">
      <w:pPr>
        <w:jc w:val="left"/>
        <w:rPr>
          <w:rFonts w:asciiTheme="minorEastAsia" w:hAnsiTheme="minorEastAsia"/>
          <w:sz w:val="24"/>
        </w:rPr>
      </w:pPr>
    </w:p>
    <w:p w14:paraId="57C5A5B1" w14:textId="77777777" w:rsidR="00086DAA" w:rsidRDefault="00086DAA">
      <w:pPr>
        <w:jc w:val="left"/>
        <w:rPr>
          <w:rFonts w:asciiTheme="minorEastAsia" w:hAnsiTheme="minorEastAsia"/>
          <w:sz w:val="24"/>
        </w:rPr>
      </w:pPr>
    </w:p>
    <w:p w14:paraId="547251BD"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40B6A2B7" w14:textId="77777777" w:rsidR="00086DAA" w:rsidRDefault="005541F6">
      <w:pPr>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６　住宅の設備</w:t>
      </w:r>
    </w:p>
    <w:p w14:paraId="398D2544"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高齢者等のための設備についてみると、設備がある住宅は</w:t>
      </w:r>
      <w:r>
        <w:rPr>
          <w:rFonts w:asciiTheme="minorEastAsia" w:hAnsiTheme="minorEastAsia" w:hint="eastAsia"/>
          <w:sz w:val="22"/>
        </w:rPr>
        <w:t>214,600</w:t>
      </w:r>
      <w:r>
        <w:rPr>
          <w:rFonts w:asciiTheme="minorEastAsia" w:hAnsiTheme="minorEastAsia" w:hint="eastAsia"/>
          <w:sz w:val="22"/>
        </w:rPr>
        <w:t>戸で平成</w:t>
      </w:r>
      <w:r>
        <w:rPr>
          <w:rFonts w:asciiTheme="minorEastAsia" w:hAnsiTheme="minorEastAsia" w:hint="eastAsia"/>
          <w:sz w:val="22"/>
        </w:rPr>
        <w:t>25</w:t>
      </w:r>
      <w:r>
        <w:rPr>
          <w:rFonts w:asciiTheme="minorEastAsia" w:hAnsiTheme="minorEastAsia" w:hint="eastAsia"/>
          <w:sz w:val="22"/>
        </w:rPr>
        <w:t>年に比べて</w:t>
      </w:r>
      <w:r>
        <w:rPr>
          <w:rFonts w:asciiTheme="minorEastAsia" w:hAnsiTheme="minorEastAsia" w:hint="eastAsia"/>
          <w:sz w:val="22"/>
        </w:rPr>
        <w:t>4,800</w:t>
      </w:r>
      <w:r>
        <w:rPr>
          <w:rFonts w:asciiTheme="minorEastAsia" w:hAnsiTheme="minorEastAsia" w:hint="eastAsia"/>
          <w:sz w:val="22"/>
        </w:rPr>
        <w:t>戸減少し、住宅全体に占める割合は</w:t>
      </w:r>
      <w:r>
        <w:rPr>
          <w:rFonts w:asciiTheme="minorEastAsia" w:hAnsiTheme="minorEastAsia" w:hint="eastAsia"/>
          <w:sz w:val="22"/>
        </w:rPr>
        <w:t>55.9</w:t>
      </w:r>
      <w:r>
        <w:rPr>
          <w:rFonts w:asciiTheme="minorEastAsia" w:hAnsiTheme="minorEastAsia" w:hint="eastAsia"/>
          <w:sz w:val="22"/>
        </w:rPr>
        <w:t>％で</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0.5</w:t>
      </w:r>
      <w:r>
        <w:rPr>
          <w:rFonts w:asciiTheme="minorEastAsia" w:hAnsiTheme="minorEastAsia" w:hint="eastAsia"/>
          <w:sz w:val="22"/>
        </w:rPr>
        <w:t>ポイント減少している。</w:t>
      </w:r>
    </w:p>
    <w:p w14:paraId="76DB72EC"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設備の内訳をみると、「手すりがある」住宅は</w:t>
      </w:r>
      <w:r>
        <w:rPr>
          <w:rFonts w:asciiTheme="minorEastAsia" w:hAnsiTheme="minorEastAsia" w:hint="eastAsia"/>
          <w:sz w:val="22"/>
        </w:rPr>
        <w:t>189,400</w:t>
      </w:r>
      <w:r>
        <w:rPr>
          <w:rFonts w:asciiTheme="minorEastAsia" w:hAnsiTheme="minorEastAsia" w:hint="eastAsia"/>
          <w:sz w:val="22"/>
        </w:rPr>
        <w:t>戸で住宅全体の</w:t>
      </w:r>
      <w:r>
        <w:rPr>
          <w:rFonts w:asciiTheme="minorEastAsia" w:hAnsiTheme="minorEastAsia" w:hint="eastAsia"/>
          <w:sz w:val="22"/>
        </w:rPr>
        <w:t>49.3</w:t>
      </w:r>
      <w:r>
        <w:rPr>
          <w:rFonts w:asciiTheme="minorEastAsia" w:hAnsiTheme="minorEastAsia" w:hint="eastAsia"/>
          <w:sz w:val="22"/>
        </w:rPr>
        <w:t>％となっていて、平成</w:t>
      </w:r>
      <w:r>
        <w:rPr>
          <w:rFonts w:asciiTheme="minorEastAsia" w:hAnsiTheme="minorEastAsia" w:hint="eastAsia"/>
          <w:sz w:val="22"/>
        </w:rPr>
        <w:t>25</w:t>
      </w:r>
      <w:r>
        <w:rPr>
          <w:rFonts w:asciiTheme="minorEastAsia" w:hAnsiTheme="minorEastAsia" w:hint="eastAsia"/>
          <w:sz w:val="22"/>
        </w:rPr>
        <w:t>年の</w:t>
      </w:r>
      <w:r>
        <w:rPr>
          <w:rFonts w:asciiTheme="minorEastAsia" w:hAnsiTheme="minorEastAsia" w:hint="eastAsia"/>
          <w:sz w:val="22"/>
        </w:rPr>
        <w:t>46.9</w:t>
      </w:r>
      <w:r>
        <w:rPr>
          <w:rFonts w:asciiTheme="minorEastAsia" w:hAnsiTheme="minorEastAsia" w:hint="eastAsia"/>
          <w:sz w:val="22"/>
        </w:rPr>
        <w:t>％から</w:t>
      </w:r>
      <w:r>
        <w:rPr>
          <w:rFonts w:asciiTheme="minorEastAsia" w:hAnsiTheme="minorEastAsia" w:hint="eastAsia"/>
          <w:sz w:val="22"/>
        </w:rPr>
        <w:t>2.4</w:t>
      </w:r>
      <w:r>
        <w:rPr>
          <w:rFonts w:asciiTheme="minorEastAsia" w:hAnsiTheme="minorEastAsia" w:hint="eastAsia"/>
          <w:sz w:val="22"/>
        </w:rPr>
        <w:t>ポイント上昇している。手すりの設置場所をみると、「階段」が</w:t>
      </w:r>
      <w:r>
        <w:rPr>
          <w:rFonts w:asciiTheme="minorEastAsia" w:hAnsiTheme="minorEastAsia" w:hint="eastAsia"/>
          <w:sz w:val="22"/>
        </w:rPr>
        <w:t>126,300</w:t>
      </w:r>
      <w:r>
        <w:rPr>
          <w:rFonts w:asciiTheme="minorEastAsia" w:hAnsiTheme="minorEastAsia" w:hint="eastAsia"/>
          <w:sz w:val="22"/>
        </w:rPr>
        <w:t>戸で住宅全体の</w:t>
      </w:r>
      <w:r>
        <w:rPr>
          <w:rFonts w:asciiTheme="minorEastAsia" w:hAnsiTheme="minorEastAsia" w:hint="eastAsia"/>
          <w:sz w:val="22"/>
        </w:rPr>
        <w:t>32.9</w:t>
      </w:r>
      <w:r>
        <w:rPr>
          <w:rFonts w:asciiTheme="minorEastAsia" w:hAnsiTheme="minorEastAsia" w:hint="eastAsia"/>
          <w:sz w:val="22"/>
        </w:rPr>
        <w:t>％と最も多く、次いで「トイレ」が</w:t>
      </w:r>
      <w:r>
        <w:rPr>
          <w:rFonts w:asciiTheme="minorEastAsia" w:hAnsiTheme="minorEastAsia" w:hint="eastAsia"/>
          <w:sz w:val="22"/>
        </w:rPr>
        <w:t>99,400</w:t>
      </w:r>
      <w:r>
        <w:rPr>
          <w:rFonts w:asciiTheme="minorEastAsia" w:hAnsiTheme="minorEastAsia" w:hint="eastAsia"/>
          <w:sz w:val="22"/>
        </w:rPr>
        <w:t>戸で</w:t>
      </w:r>
      <w:r>
        <w:rPr>
          <w:rFonts w:asciiTheme="minorEastAsia" w:hAnsiTheme="minorEastAsia" w:hint="eastAsia"/>
          <w:sz w:val="22"/>
        </w:rPr>
        <w:t>25.9</w:t>
      </w:r>
      <w:r>
        <w:rPr>
          <w:rFonts w:asciiTheme="minorEastAsia" w:hAnsiTheme="minorEastAsia" w:hint="eastAsia"/>
          <w:sz w:val="22"/>
        </w:rPr>
        <w:t>％、「浴室」が</w:t>
      </w:r>
      <w:r>
        <w:rPr>
          <w:rFonts w:asciiTheme="minorEastAsia" w:hAnsiTheme="minorEastAsia" w:hint="eastAsia"/>
          <w:sz w:val="22"/>
        </w:rPr>
        <w:t>98,400</w:t>
      </w:r>
      <w:r>
        <w:rPr>
          <w:rFonts w:asciiTheme="minorEastAsia" w:hAnsiTheme="minorEastAsia" w:hint="eastAsia"/>
          <w:sz w:val="22"/>
        </w:rPr>
        <w:t>戸で</w:t>
      </w:r>
      <w:r>
        <w:rPr>
          <w:rFonts w:asciiTheme="minorEastAsia" w:hAnsiTheme="minorEastAsia" w:hint="eastAsia"/>
          <w:sz w:val="22"/>
        </w:rPr>
        <w:t>25.6</w:t>
      </w:r>
      <w:r>
        <w:rPr>
          <w:rFonts w:asciiTheme="minorEastAsia" w:hAnsiTheme="minorEastAsia" w:hint="eastAsia"/>
          <w:sz w:val="22"/>
        </w:rPr>
        <w:t>％などとなってい</w:t>
      </w:r>
      <w:r>
        <w:rPr>
          <w:rFonts w:asciiTheme="minorEastAsia" w:hAnsiTheme="minorEastAsia" w:hint="eastAsia"/>
          <w:sz w:val="22"/>
        </w:rPr>
        <w:t>る。</w:t>
      </w:r>
    </w:p>
    <w:p w14:paraId="5BD4C40A"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その他の設備（「車いすなどで通行可能な幅」、「段差のない屋内」、「またぎやすい高さの浴槽」、「道路から玄関まで車いすで通行可能」）については、いずれも低下している。</w:t>
      </w:r>
    </w:p>
    <w:p w14:paraId="0C719AAA" w14:textId="77777777" w:rsidR="00086DAA" w:rsidRDefault="005541F6">
      <w:pPr>
        <w:ind w:firstLineChars="124" w:firstLine="257"/>
        <w:jc w:val="left"/>
        <w:rPr>
          <w:rFonts w:asciiTheme="minorEastAsia" w:hAnsiTheme="minorEastAsia"/>
          <w:sz w:val="22"/>
        </w:rPr>
      </w:pPr>
      <w:r>
        <w:rPr>
          <w:rFonts w:asciiTheme="minorEastAsia" w:hAnsiTheme="minorEastAsia" w:hint="eastAsia"/>
          <w:sz w:val="22"/>
        </w:rPr>
        <w:t>また、高齢者等のための設備について住宅の建て方別にみると、設備のある住宅は一戸建で</w:t>
      </w:r>
      <w:r>
        <w:rPr>
          <w:rFonts w:asciiTheme="minorEastAsia" w:hAnsiTheme="minorEastAsia" w:hint="eastAsia"/>
          <w:sz w:val="22"/>
        </w:rPr>
        <w:t>63.1</w:t>
      </w:r>
      <w:r>
        <w:rPr>
          <w:rFonts w:asciiTheme="minorEastAsia" w:hAnsiTheme="minorEastAsia" w:hint="eastAsia"/>
          <w:sz w:val="22"/>
        </w:rPr>
        <w:t>％、長屋建で</w:t>
      </w:r>
      <w:r>
        <w:rPr>
          <w:rFonts w:asciiTheme="minorEastAsia" w:hAnsiTheme="minorEastAsia" w:hint="eastAsia"/>
          <w:sz w:val="22"/>
        </w:rPr>
        <w:t>41.4</w:t>
      </w:r>
      <w:r>
        <w:rPr>
          <w:rFonts w:asciiTheme="minorEastAsia" w:hAnsiTheme="minorEastAsia" w:hint="eastAsia"/>
          <w:sz w:val="22"/>
        </w:rPr>
        <w:t>％、共同住宅で</w:t>
      </w:r>
      <w:r>
        <w:rPr>
          <w:rFonts w:asciiTheme="minorEastAsia" w:hAnsiTheme="minorEastAsia" w:hint="eastAsia"/>
          <w:sz w:val="22"/>
        </w:rPr>
        <w:t>25.7</w:t>
      </w:r>
      <w:r>
        <w:rPr>
          <w:rFonts w:asciiTheme="minorEastAsia" w:hAnsiTheme="minorEastAsia" w:hint="eastAsia"/>
          <w:sz w:val="22"/>
        </w:rPr>
        <w:t>％となっている。</w:t>
      </w:r>
    </w:p>
    <w:p w14:paraId="7D4715DD" w14:textId="72549887" w:rsidR="00086DAA" w:rsidRDefault="005541F6">
      <w:pPr>
        <w:jc w:val="center"/>
        <w:rPr>
          <w:rFonts w:asciiTheme="minorEastAsia" w:hAnsiTheme="minorEastAsia"/>
          <w:sz w:val="24"/>
        </w:rPr>
      </w:pPr>
      <w:hyperlink r:id="rId62" w:history="1">
        <w:r>
          <w:rPr>
            <w:rFonts w:asciiTheme="minorEastAsia" w:hAnsiTheme="minorEastAsia"/>
            <w:sz w:val="24"/>
          </w:rPr>
          <w:pict w14:anchorId="4F8311F4">
            <v:shape id="_x0000_i1112" type="#_x0000_t75" style="width:439.2pt;height:2in">
              <v:imagedata r:id="rId63" o:title=""/>
            </v:shape>
          </w:pict>
        </w:r>
      </w:hyperlink>
    </w:p>
    <w:p w14:paraId="2B1EC2A3" w14:textId="4E75FAD7" w:rsidR="00086DAA" w:rsidRDefault="005541F6">
      <w:pPr>
        <w:jc w:val="center"/>
        <w:rPr>
          <w:rFonts w:asciiTheme="minorEastAsia" w:hAnsiTheme="minorEastAsia"/>
          <w:sz w:val="24"/>
        </w:rPr>
      </w:pPr>
      <w:r>
        <w:rPr>
          <w:rFonts w:asciiTheme="minorEastAsia" w:hAnsiTheme="minorEastAsia"/>
          <w:sz w:val="24"/>
        </w:rPr>
        <w:pict w14:anchorId="56E947D8">
          <v:shape id="_x0000_i1110" type="#_x0000_t75" style="width:439.2pt;height:180pt">
            <v:imagedata r:id="rId64" o:title=""/>
          </v:shape>
        </w:pict>
      </w:r>
    </w:p>
    <w:p w14:paraId="561DAAB9" w14:textId="77777777" w:rsidR="00086DAA" w:rsidRDefault="005541F6">
      <w:pPr>
        <w:widowControl/>
        <w:jc w:val="left"/>
        <w:rPr>
          <w:rFonts w:asciiTheme="minorEastAsia" w:hAnsiTheme="minorEastAsia"/>
          <w:sz w:val="24"/>
        </w:rPr>
      </w:pPr>
      <w:r>
        <w:rPr>
          <w:noProof/>
        </w:rPr>
        <w:drawing>
          <wp:anchor distT="0" distB="0" distL="114300" distR="114300" simplePos="0" relativeHeight="70" behindDoc="0" locked="0" layoutInCell="1" hidden="0" allowOverlap="1" wp14:anchorId="26FEA893" wp14:editId="72BFAED9">
            <wp:simplePos x="0" y="0"/>
            <wp:positionH relativeFrom="column">
              <wp:posOffset>3086735</wp:posOffset>
            </wp:positionH>
            <wp:positionV relativeFrom="paragraph">
              <wp:posOffset>19685</wp:posOffset>
            </wp:positionV>
            <wp:extent cx="2915920" cy="2447925"/>
            <wp:effectExtent l="0" t="0" r="17780" b="9525"/>
            <wp:wrapSquare wrapText="bothSides"/>
            <wp:docPr id="108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r>
        <w:rPr>
          <w:noProof/>
        </w:rPr>
        <w:drawing>
          <wp:inline distT="0" distB="0" distL="0" distR="0" wp14:anchorId="180B7046" wp14:editId="277C7A59">
            <wp:extent cx="2915920" cy="2447925"/>
            <wp:effectExtent l="0" t="0" r="17780" b="9525"/>
            <wp:docPr id="108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B2B6E4C"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lastRenderedPageBreak/>
        <w:t>省エネルギー設備等のある住宅についてみると、「太陽光を利用した温水機器等」がある住宅は</w:t>
      </w:r>
      <w:r>
        <w:rPr>
          <w:rFonts w:asciiTheme="minorEastAsia" w:hAnsiTheme="minorEastAsia" w:hint="eastAsia"/>
          <w:sz w:val="22"/>
        </w:rPr>
        <w:t>4,800</w:t>
      </w:r>
      <w:r>
        <w:rPr>
          <w:rFonts w:asciiTheme="minorEastAsia" w:hAnsiTheme="minorEastAsia" w:hint="eastAsia"/>
          <w:sz w:val="22"/>
        </w:rPr>
        <w:t>戸で住宅全体の</w:t>
      </w:r>
      <w:r>
        <w:rPr>
          <w:rFonts w:asciiTheme="minorEastAsia" w:hAnsiTheme="minorEastAsia" w:hint="eastAsia"/>
          <w:sz w:val="22"/>
        </w:rPr>
        <w:t>1.3</w:t>
      </w:r>
      <w:r>
        <w:rPr>
          <w:rFonts w:asciiTheme="minorEastAsia" w:hAnsiTheme="minorEastAsia" w:hint="eastAsia"/>
          <w:sz w:val="22"/>
        </w:rPr>
        <w:t>％となっていて、平成</w:t>
      </w:r>
      <w:r>
        <w:rPr>
          <w:rFonts w:asciiTheme="minorEastAsia" w:hAnsiTheme="minorEastAsia" w:hint="eastAsia"/>
          <w:sz w:val="22"/>
        </w:rPr>
        <w:t>25</w:t>
      </w:r>
      <w:r>
        <w:rPr>
          <w:rFonts w:asciiTheme="minorEastAsia" w:hAnsiTheme="minorEastAsia" w:hint="eastAsia"/>
          <w:sz w:val="22"/>
        </w:rPr>
        <w:t>年に比べ</w:t>
      </w:r>
      <w:r>
        <w:rPr>
          <w:rFonts w:asciiTheme="minorEastAsia" w:hAnsiTheme="minorEastAsia" w:hint="eastAsia"/>
          <w:sz w:val="22"/>
        </w:rPr>
        <w:t>100</w:t>
      </w:r>
      <w:r>
        <w:rPr>
          <w:rFonts w:asciiTheme="minorEastAsia" w:hAnsiTheme="minorEastAsia" w:hint="eastAsia"/>
          <w:sz w:val="22"/>
        </w:rPr>
        <w:t>戸増加し住宅全体に占める割合は</w:t>
      </w:r>
      <w:r>
        <w:rPr>
          <w:rFonts w:asciiTheme="minorEastAsia" w:hAnsiTheme="minorEastAsia" w:hint="eastAsia"/>
          <w:sz w:val="22"/>
        </w:rPr>
        <w:t>0.1</w:t>
      </w:r>
      <w:r>
        <w:rPr>
          <w:rFonts w:asciiTheme="minorEastAsia" w:hAnsiTheme="minorEastAsia" w:hint="eastAsia"/>
          <w:sz w:val="22"/>
        </w:rPr>
        <w:t>ポイント上昇している。</w:t>
      </w:r>
    </w:p>
    <w:p w14:paraId="5C333372"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また、「太陽光を利用した発電機器等」がある住宅は</w:t>
      </w:r>
      <w:r>
        <w:rPr>
          <w:rFonts w:asciiTheme="minorEastAsia" w:hAnsiTheme="minorEastAsia" w:hint="eastAsia"/>
          <w:sz w:val="22"/>
        </w:rPr>
        <w:t>6,700</w:t>
      </w:r>
      <w:r>
        <w:rPr>
          <w:rFonts w:asciiTheme="minorEastAsia" w:hAnsiTheme="minorEastAsia" w:hint="eastAsia"/>
          <w:sz w:val="22"/>
        </w:rPr>
        <w:t>戸で住宅全体の</w:t>
      </w:r>
      <w:r>
        <w:rPr>
          <w:rFonts w:asciiTheme="minorEastAsia" w:hAnsiTheme="minorEastAsia" w:hint="eastAsia"/>
          <w:sz w:val="22"/>
        </w:rPr>
        <w:t>1.7</w:t>
      </w:r>
      <w:r>
        <w:rPr>
          <w:rFonts w:asciiTheme="minorEastAsia" w:hAnsiTheme="minorEastAsia" w:hint="eastAsia"/>
          <w:sz w:val="22"/>
        </w:rPr>
        <w:t>％となっていて、平成</w:t>
      </w:r>
      <w:r>
        <w:rPr>
          <w:rFonts w:asciiTheme="minorEastAsia" w:hAnsiTheme="minorEastAsia" w:hint="eastAsia"/>
          <w:sz w:val="22"/>
        </w:rPr>
        <w:t>25</w:t>
      </w:r>
      <w:r>
        <w:rPr>
          <w:rFonts w:asciiTheme="minorEastAsia" w:hAnsiTheme="minorEastAsia" w:hint="eastAsia"/>
          <w:sz w:val="22"/>
        </w:rPr>
        <w:t>年に比べ</w:t>
      </w:r>
      <w:r>
        <w:rPr>
          <w:rFonts w:asciiTheme="minorEastAsia" w:hAnsiTheme="minorEastAsia" w:hint="eastAsia"/>
          <w:sz w:val="22"/>
        </w:rPr>
        <w:t>2,100</w:t>
      </w:r>
      <w:r>
        <w:rPr>
          <w:rFonts w:asciiTheme="minorEastAsia" w:hAnsiTheme="minorEastAsia" w:hint="eastAsia"/>
          <w:sz w:val="22"/>
        </w:rPr>
        <w:t>戸増加し住宅全体に占める割合は</w:t>
      </w:r>
      <w:r>
        <w:rPr>
          <w:rFonts w:asciiTheme="minorEastAsia" w:hAnsiTheme="minorEastAsia" w:hint="eastAsia"/>
          <w:sz w:val="22"/>
        </w:rPr>
        <w:t>0</w:t>
      </w:r>
      <w:r>
        <w:rPr>
          <w:rFonts w:asciiTheme="minorEastAsia" w:hAnsiTheme="minorEastAsia" w:hint="eastAsia"/>
          <w:sz w:val="22"/>
        </w:rPr>
        <w:t>.5</w:t>
      </w:r>
      <w:r>
        <w:rPr>
          <w:rFonts w:asciiTheme="minorEastAsia" w:hAnsiTheme="minorEastAsia" w:hint="eastAsia"/>
          <w:sz w:val="22"/>
        </w:rPr>
        <w:t>ポイント上昇している。</w:t>
      </w:r>
    </w:p>
    <w:p w14:paraId="33499473"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また、「二重サッシ又は複層ガラスの窓」がある住宅は</w:t>
      </w:r>
      <w:r>
        <w:rPr>
          <w:rFonts w:asciiTheme="minorEastAsia" w:hAnsiTheme="minorEastAsia" w:hint="eastAsia"/>
          <w:sz w:val="22"/>
        </w:rPr>
        <w:t>127,000</w:t>
      </w:r>
      <w:r>
        <w:rPr>
          <w:rFonts w:asciiTheme="minorEastAsia" w:hAnsiTheme="minorEastAsia" w:hint="eastAsia"/>
          <w:sz w:val="22"/>
        </w:rPr>
        <w:t>戸で住宅全体の</w:t>
      </w:r>
      <w:r>
        <w:rPr>
          <w:rFonts w:asciiTheme="minorEastAsia" w:hAnsiTheme="minorEastAsia" w:hint="eastAsia"/>
          <w:sz w:val="22"/>
        </w:rPr>
        <w:t>33.1</w:t>
      </w:r>
      <w:r>
        <w:rPr>
          <w:rFonts w:asciiTheme="minorEastAsia" w:hAnsiTheme="minorEastAsia" w:hint="eastAsia"/>
          <w:sz w:val="22"/>
        </w:rPr>
        <w:t>％となっていて、県内の約３分の１の住宅で「二重サッシ又は複層ガラスの窓」を設置している。</w:t>
      </w:r>
    </w:p>
    <w:p w14:paraId="28D0D92B" w14:textId="7820FEC5" w:rsidR="00086DAA" w:rsidRDefault="005541F6">
      <w:pPr>
        <w:ind w:firstLineChars="125" w:firstLine="284"/>
        <w:jc w:val="center"/>
        <w:rPr>
          <w:rFonts w:asciiTheme="minorEastAsia" w:hAnsiTheme="minorEastAsia"/>
          <w:sz w:val="24"/>
        </w:rPr>
      </w:pPr>
      <w:r>
        <w:rPr>
          <w:rFonts w:asciiTheme="minorEastAsia" w:hAnsiTheme="minorEastAsia"/>
          <w:sz w:val="24"/>
        </w:rPr>
        <w:pict w14:anchorId="6853F669">
          <v:shape id="_x0000_i1108" type="#_x0000_t75" style="width:374.4pt;height:230.4pt">
            <v:imagedata r:id="rId67" o:title=""/>
          </v:shape>
        </w:pict>
      </w:r>
    </w:p>
    <w:p w14:paraId="6F2814D8" w14:textId="77777777" w:rsidR="00086DAA" w:rsidRDefault="005541F6">
      <w:pPr>
        <w:ind w:firstLineChars="125" w:firstLine="247"/>
        <w:jc w:val="center"/>
        <w:rPr>
          <w:rFonts w:asciiTheme="minorEastAsia" w:hAnsiTheme="minorEastAsia"/>
          <w:sz w:val="24"/>
        </w:rPr>
      </w:pPr>
      <w:r>
        <w:rPr>
          <w:noProof/>
        </w:rPr>
        <w:drawing>
          <wp:inline distT="0" distB="0" distL="0" distR="0" wp14:anchorId="479D7200" wp14:editId="43AA01FA">
            <wp:extent cx="5413375" cy="2098040"/>
            <wp:effectExtent l="0" t="0" r="15875" b="16510"/>
            <wp:docPr id="108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FB49495"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共同住宅（</w:t>
      </w:r>
      <w:r>
        <w:rPr>
          <w:rFonts w:asciiTheme="minorEastAsia" w:hAnsiTheme="minorEastAsia" w:hint="eastAsia"/>
          <w:sz w:val="22"/>
        </w:rPr>
        <w:t>68,200</w:t>
      </w:r>
      <w:r>
        <w:rPr>
          <w:rFonts w:asciiTheme="minorEastAsia" w:hAnsiTheme="minorEastAsia" w:hint="eastAsia"/>
          <w:sz w:val="22"/>
        </w:rPr>
        <w:t>戸）のうち、「エレベーターあり」の住宅は</w:t>
      </w:r>
      <w:r>
        <w:rPr>
          <w:rFonts w:asciiTheme="minorEastAsia" w:hAnsiTheme="minorEastAsia" w:hint="eastAsia"/>
          <w:sz w:val="22"/>
        </w:rPr>
        <w:t>9,600</w:t>
      </w:r>
      <w:r>
        <w:rPr>
          <w:rFonts w:asciiTheme="minorEastAsia" w:hAnsiTheme="minorEastAsia" w:hint="eastAsia"/>
          <w:sz w:val="22"/>
        </w:rPr>
        <w:t>戸で共同住宅全体の</w:t>
      </w:r>
      <w:r>
        <w:rPr>
          <w:rFonts w:asciiTheme="minorEastAsia" w:hAnsiTheme="minorEastAsia" w:hint="eastAsia"/>
          <w:sz w:val="22"/>
        </w:rPr>
        <w:t>14.1</w:t>
      </w:r>
      <w:r>
        <w:rPr>
          <w:rFonts w:asciiTheme="minorEastAsia" w:hAnsiTheme="minorEastAsia" w:hint="eastAsia"/>
          <w:sz w:val="22"/>
        </w:rPr>
        <w:t>％となっていて、全国の</w:t>
      </w:r>
      <w:r>
        <w:rPr>
          <w:rFonts w:asciiTheme="minorEastAsia" w:hAnsiTheme="minorEastAsia" w:hint="eastAsia"/>
          <w:sz w:val="22"/>
        </w:rPr>
        <w:t>45.6</w:t>
      </w:r>
      <w:r>
        <w:rPr>
          <w:rFonts w:asciiTheme="minorEastAsia" w:hAnsiTheme="minorEastAsia" w:hint="eastAsia"/>
          <w:sz w:val="22"/>
        </w:rPr>
        <w:t>％と比べると</w:t>
      </w:r>
      <w:r>
        <w:rPr>
          <w:rFonts w:asciiTheme="minorEastAsia" w:hAnsiTheme="minorEastAsia" w:hint="eastAsia"/>
          <w:sz w:val="22"/>
        </w:rPr>
        <w:t>31.5</w:t>
      </w:r>
      <w:r>
        <w:rPr>
          <w:rFonts w:asciiTheme="minorEastAsia" w:hAnsiTheme="minorEastAsia" w:hint="eastAsia"/>
          <w:sz w:val="22"/>
        </w:rPr>
        <w:t>ポイント下回っている。</w:t>
      </w:r>
    </w:p>
    <w:p w14:paraId="7DB50A8A"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 xml:space="preserve">　また、共同住宅のうち「オートロック式」の住宅は</w:t>
      </w:r>
      <w:r>
        <w:rPr>
          <w:rFonts w:asciiTheme="minorEastAsia" w:hAnsiTheme="minorEastAsia" w:hint="eastAsia"/>
          <w:sz w:val="22"/>
        </w:rPr>
        <w:t>7,600</w:t>
      </w:r>
      <w:r>
        <w:rPr>
          <w:rFonts w:asciiTheme="minorEastAsia" w:hAnsiTheme="minorEastAsia" w:hint="eastAsia"/>
          <w:sz w:val="22"/>
        </w:rPr>
        <w:t>戸で共同住宅全体の</w:t>
      </w:r>
      <w:r>
        <w:rPr>
          <w:rFonts w:asciiTheme="minorEastAsia" w:hAnsiTheme="minorEastAsia" w:hint="eastAsia"/>
          <w:sz w:val="22"/>
        </w:rPr>
        <w:t>11.1</w:t>
      </w:r>
      <w:r>
        <w:rPr>
          <w:rFonts w:asciiTheme="minorEastAsia" w:hAnsiTheme="minorEastAsia" w:hint="eastAsia"/>
          <w:sz w:val="22"/>
        </w:rPr>
        <w:t>％となっていて、全国の</w:t>
      </w:r>
      <w:r>
        <w:rPr>
          <w:rFonts w:asciiTheme="minorEastAsia" w:hAnsiTheme="minorEastAsia" w:hint="eastAsia"/>
          <w:sz w:val="22"/>
        </w:rPr>
        <w:t>34.2</w:t>
      </w:r>
      <w:r>
        <w:rPr>
          <w:rFonts w:asciiTheme="minorEastAsia" w:hAnsiTheme="minorEastAsia" w:hint="eastAsia"/>
          <w:sz w:val="22"/>
        </w:rPr>
        <w:t>％と比べると</w:t>
      </w:r>
      <w:r>
        <w:rPr>
          <w:rFonts w:asciiTheme="minorEastAsia" w:hAnsiTheme="minorEastAsia" w:hint="eastAsia"/>
          <w:sz w:val="22"/>
        </w:rPr>
        <w:t>23.1</w:t>
      </w:r>
      <w:r>
        <w:rPr>
          <w:rFonts w:asciiTheme="minorEastAsia" w:hAnsiTheme="minorEastAsia" w:hint="eastAsia"/>
          <w:sz w:val="22"/>
        </w:rPr>
        <w:t>ポイント下回っている。</w:t>
      </w:r>
    </w:p>
    <w:p w14:paraId="25625E6C" w14:textId="77777777" w:rsidR="00086DAA" w:rsidRDefault="005541F6">
      <w:pPr>
        <w:jc w:val="center"/>
        <w:rPr>
          <w:rFonts w:asciiTheme="minorEastAsia" w:hAnsiTheme="minorEastAsia"/>
          <w:sz w:val="24"/>
        </w:rPr>
      </w:pPr>
      <w:r>
        <w:rPr>
          <w:noProof/>
        </w:rPr>
        <w:drawing>
          <wp:inline distT="0" distB="0" distL="0" distR="0" wp14:anchorId="5DADF714" wp14:editId="542F18F7">
            <wp:extent cx="3023870" cy="1619885"/>
            <wp:effectExtent l="0" t="0" r="5080" b="18415"/>
            <wp:docPr id="1089"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Pr>
          <w:noProof/>
        </w:rPr>
        <w:drawing>
          <wp:inline distT="0" distB="0" distL="0" distR="0" wp14:anchorId="0F98E5E1" wp14:editId="2AAE3D78">
            <wp:extent cx="3023870" cy="1619885"/>
            <wp:effectExtent l="0" t="0" r="5080" b="18415"/>
            <wp:docPr id="109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9CD2CAD" w14:textId="77777777" w:rsidR="00086DAA" w:rsidRDefault="005541F6">
      <w:pPr>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７　増改築・改修工事等</w:t>
      </w:r>
    </w:p>
    <w:p w14:paraId="5F37C1B6"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持ち家のうち、平成</w:t>
      </w:r>
      <w:r>
        <w:rPr>
          <w:rFonts w:asciiTheme="minorEastAsia" w:hAnsiTheme="minorEastAsia" w:hint="eastAsia"/>
          <w:sz w:val="22"/>
        </w:rPr>
        <w:t>26</w:t>
      </w:r>
      <w:r>
        <w:rPr>
          <w:rFonts w:asciiTheme="minorEastAsia" w:hAnsiTheme="minorEastAsia" w:hint="eastAsia"/>
          <w:sz w:val="22"/>
        </w:rPr>
        <w:t>年以降に増改築・改修工事等をした住宅は</w:t>
      </w:r>
      <w:r>
        <w:rPr>
          <w:rFonts w:asciiTheme="minorEastAsia" w:hAnsiTheme="minorEastAsia" w:hint="eastAsia"/>
          <w:sz w:val="22"/>
        </w:rPr>
        <w:t>86,400</w:t>
      </w:r>
      <w:r>
        <w:rPr>
          <w:rFonts w:asciiTheme="minorEastAsia" w:hAnsiTheme="minorEastAsia" w:hint="eastAsia"/>
          <w:sz w:val="22"/>
        </w:rPr>
        <w:t>戸で、持ち家全体の</w:t>
      </w:r>
      <w:r>
        <w:rPr>
          <w:rFonts w:asciiTheme="minorEastAsia" w:hAnsiTheme="minorEastAsia" w:hint="eastAsia"/>
          <w:sz w:val="22"/>
        </w:rPr>
        <w:t>29.1</w:t>
      </w:r>
      <w:r>
        <w:rPr>
          <w:rFonts w:asciiTheme="minorEastAsia" w:hAnsiTheme="minorEastAsia" w:hint="eastAsia"/>
          <w:sz w:val="22"/>
        </w:rPr>
        <w:t>％となっている。</w:t>
      </w:r>
    </w:p>
    <w:p w14:paraId="790F4D4A"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増改築・改修工事等が行われた住宅における工事の内訳をみると、「台所・トイレ・浴室・洗面所の改修工事」が</w:t>
      </w:r>
      <w:r>
        <w:rPr>
          <w:rFonts w:asciiTheme="minorEastAsia" w:hAnsiTheme="minorEastAsia" w:hint="eastAsia"/>
          <w:sz w:val="22"/>
        </w:rPr>
        <w:t>43,800</w:t>
      </w:r>
      <w:r>
        <w:rPr>
          <w:rFonts w:asciiTheme="minorEastAsia" w:hAnsiTheme="minorEastAsia" w:hint="eastAsia"/>
          <w:sz w:val="22"/>
        </w:rPr>
        <w:t>戸、持ち家全体の</w:t>
      </w:r>
      <w:r>
        <w:rPr>
          <w:rFonts w:asciiTheme="minorEastAsia" w:hAnsiTheme="minorEastAsia" w:hint="eastAsia"/>
          <w:sz w:val="22"/>
        </w:rPr>
        <w:t>14.8</w:t>
      </w:r>
      <w:r>
        <w:rPr>
          <w:rFonts w:asciiTheme="minorEastAsia" w:hAnsiTheme="minorEastAsia" w:hint="eastAsia"/>
          <w:sz w:val="22"/>
        </w:rPr>
        <w:t>％で最も多くなっている。次いで、「屋根・外壁等の補強工事」が</w:t>
      </w:r>
      <w:r>
        <w:rPr>
          <w:rFonts w:asciiTheme="minorEastAsia" w:hAnsiTheme="minorEastAsia" w:hint="eastAsia"/>
          <w:sz w:val="22"/>
        </w:rPr>
        <w:t>39,100</w:t>
      </w:r>
      <w:r>
        <w:rPr>
          <w:rFonts w:asciiTheme="minorEastAsia" w:hAnsiTheme="minorEastAsia" w:hint="eastAsia"/>
          <w:sz w:val="22"/>
        </w:rPr>
        <w:t>戸、持ち家全体の</w:t>
      </w:r>
      <w:r>
        <w:rPr>
          <w:rFonts w:asciiTheme="minorEastAsia" w:hAnsiTheme="minorEastAsia" w:hint="eastAsia"/>
          <w:sz w:val="22"/>
        </w:rPr>
        <w:t>13.2</w:t>
      </w:r>
      <w:r>
        <w:rPr>
          <w:rFonts w:asciiTheme="minorEastAsia" w:hAnsiTheme="minorEastAsia" w:hint="eastAsia"/>
          <w:sz w:val="22"/>
        </w:rPr>
        <w:t>％などとなっている。</w:t>
      </w:r>
    </w:p>
    <w:p w14:paraId="5B14F87B" w14:textId="52A7FB10" w:rsidR="00086DAA" w:rsidRDefault="005541F6">
      <w:pPr>
        <w:jc w:val="center"/>
        <w:rPr>
          <w:rFonts w:asciiTheme="minorEastAsia" w:hAnsiTheme="minorEastAsia"/>
          <w:sz w:val="24"/>
        </w:rPr>
      </w:pPr>
      <w:r>
        <w:rPr>
          <w:rFonts w:asciiTheme="minorEastAsia" w:hAnsiTheme="minorEastAsia"/>
          <w:sz w:val="24"/>
        </w:rPr>
        <w:pict w14:anchorId="75C2F117">
          <v:shape id="_x0000_i1106" type="#_x0000_t75" style="width:468pt;height:194.4pt">
            <v:imagedata r:id="rId71" o:title=""/>
          </v:shape>
        </w:pict>
      </w:r>
    </w:p>
    <w:p w14:paraId="4E8D7667" w14:textId="77777777" w:rsidR="00086DAA" w:rsidRDefault="005541F6">
      <w:pPr>
        <w:jc w:val="left"/>
        <w:rPr>
          <w:rFonts w:asciiTheme="minorEastAsia" w:hAnsiTheme="minorEastAsia"/>
          <w:sz w:val="24"/>
        </w:rPr>
      </w:pPr>
      <w:r>
        <w:rPr>
          <w:noProof/>
        </w:rPr>
        <w:drawing>
          <wp:anchor distT="0" distB="0" distL="114300" distR="114300" simplePos="0" relativeHeight="77" behindDoc="0" locked="0" layoutInCell="1" hidden="0" allowOverlap="1" wp14:anchorId="4D937B58" wp14:editId="2EF71A54">
            <wp:simplePos x="0" y="0"/>
            <wp:positionH relativeFrom="column">
              <wp:posOffset>591185</wp:posOffset>
            </wp:positionH>
            <wp:positionV relativeFrom="paragraph">
              <wp:posOffset>109220</wp:posOffset>
            </wp:positionV>
            <wp:extent cx="5329555" cy="2879725"/>
            <wp:effectExtent l="0" t="0" r="4445" b="15875"/>
            <wp:wrapSquare wrapText="bothSides"/>
            <wp:docPr id="109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p>
    <w:p w14:paraId="24042097" w14:textId="77777777" w:rsidR="00086DAA" w:rsidRDefault="00086DAA">
      <w:pPr>
        <w:jc w:val="left"/>
        <w:rPr>
          <w:rFonts w:asciiTheme="minorEastAsia" w:hAnsiTheme="minorEastAsia"/>
          <w:sz w:val="24"/>
        </w:rPr>
      </w:pPr>
    </w:p>
    <w:p w14:paraId="4D630C28" w14:textId="77777777" w:rsidR="00086DAA" w:rsidRDefault="00086DAA">
      <w:pPr>
        <w:jc w:val="left"/>
        <w:rPr>
          <w:rFonts w:asciiTheme="minorEastAsia" w:hAnsiTheme="minorEastAsia"/>
          <w:sz w:val="24"/>
        </w:rPr>
      </w:pPr>
    </w:p>
    <w:p w14:paraId="6BD6496C" w14:textId="77777777" w:rsidR="00086DAA" w:rsidRDefault="00086DAA">
      <w:pPr>
        <w:jc w:val="left"/>
        <w:rPr>
          <w:rFonts w:asciiTheme="minorEastAsia" w:hAnsiTheme="minorEastAsia"/>
          <w:sz w:val="24"/>
        </w:rPr>
      </w:pPr>
    </w:p>
    <w:p w14:paraId="16CBADD9" w14:textId="77777777" w:rsidR="00086DAA" w:rsidRDefault="00086DAA">
      <w:pPr>
        <w:jc w:val="left"/>
        <w:rPr>
          <w:rFonts w:asciiTheme="minorEastAsia" w:hAnsiTheme="minorEastAsia"/>
          <w:sz w:val="24"/>
        </w:rPr>
      </w:pPr>
    </w:p>
    <w:p w14:paraId="1ED909D1" w14:textId="77777777" w:rsidR="00086DAA" w:rsidRDefault="00086DAA">
      <w:pPr>
        <w:jc w:val="left"/>
        <w:rPr>
          <w:rFonts w:asciiTheme="minorEastAsia" w:hAnsiTheme="minorEastAsia"/>
          <w:sz w:val="24"/>
        </w:rPr>
      </w:pPr>
    </w:p>
    <w:p w14:paraId="075A624F" w14:textId="77777777" w:rsidR="00086DAA" w:rsidRDefault="00086DAA">
      <w:pPr>
        <w:jc w:val="left"/>
        <w:rPr>
          <w:rFonts w:asciiTheme="minorEastAsia" w:hAnsiTheme="minorEastAsia"/>
          <w:sz w:val="24"/>
        </w:rPr>
      </w:pPr>
    </w:p>
    <w:p w14:paraId="317A19D6" w14:textId="77777777" w:rsidR="00086DAA" w:rsidRDefault="00086DAA">
      <w:pPr>
        <w:jc w:val="left"/>
        <w:rPr>
          <w:rFonts w:asciiTheme="minorEastAsia" w:hAnsiTheme="minorEastAsia"/>
          <w:sz w:val="24"/>
        </w:rPr>
      </w:pPr>
    </w:p>
    <w:p w14:paraId="343DF5DE" w14:textId="77777777" w:rsidR="00086DAA" w:rsidRDefault="00086DAA">
      <w:pPr>
        <w:jc w:val="left"/>
        <w:rPr>
          <w:rFonts w:asciiTheme="minorEastAsia" w:hAnsiTheme="minorEastAsia"/>
          <w:sz w:val="24"/>
        </w:rPr>
      </w:pPr>
    </w:p>
    <w:p w14:paraId="480E184B"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5FC6DC7F"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lastRenderedPageBreak/>
        <w:t>持ち家のうち耐震改修工事が行われた住宅は</w:t>
      </w:r>
      <w:r>
        <w:rPr>
          <w:rFonts w:asciiTheme="minorEastAsia" w:hAnsiTheme="minorEastAsia" w:hint="eastAsia"/>
          <w:sz w:val="22"/>
        </w:rPr>
        <w:t>4,400</w:t>
      </w:r>
      <w:r>
        <w:rPr>
          <w:rFonts w:asciiTheme="minorEastAsia" w:hAnsiTheme="minorEastAsia" w:hint="eastAsia"/>
          <w:sz w:val="22"/>
        </w:rPr>
        <w:t>戸で、持ち家全体の</w:t>
      </w:r>
      <w:r>
        <w:rPr>
          <w:rFonts w:asciiTheme="minorEastAsia" w:hAnsiTheme="minorEastAsia" w:hint="eastAsia"/>
          <w:sz w:val="22"/>
        </w:rPr>
        <w:t>1.5</w:t>
      </w:r>
      <w:r>
        <w:rPr>
          <w:rFonts w:asciiTheme="minorEastAsia" w:hAnsiTheme="minorEastAsia" w:hint="eastAsia"/>
          <w:sz w:val="22"/>
        </w:rPr>
        <w:t>％となっている。耐震改修工事の内訳をみると、「壁の新設・補強」が</w:t>
      </w:r>
      <w:r>
        <w:rPr>
          <w:rFonts w:asciiTheme="minorEastAsia" w:hAnsiTheme="minorEastAsia" w:hint="eastAsia"/>
          <w:sz w:val="22"/>
        </w:rPr>
        <w:t>2,000</w:t>
      </w:r>
      <w:r>
        <w:rPr>
          <w:rFonts w:asciiTheme="minorEastAsia" w:hAnsiTheme="minorEastAsia" w:hint="eastAsia"/>
          <w:sz w:val="22"/>
        </w:rPr>
        <w:t>戸</w:t>
      </w:r>
      <w:r>
        <w:rPr>
          <w:rFonts w:asciiTheme="minorEastAsia" w:hAnsiTheme="minorEastAsia" w:hint="eastAsia"/>
          <w:sz w:val="22"/>
        </w:rPr>
        <w:t>(0.7</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、「金具による補強」が</w:t>
      </w:r>
      <w:r>
        <w:rPr>
          <w:rFonts w:asciiTheme="minorEastAsia" w:hAnsiTheme="minorEastAsia" w:hint="eastAsia"/>
          <w:sz w:val="22"/>
        </w:rPr>
        <w:t>1,800</w:t>
      </w:r>
      <w:r>
        <w:rPr>
          <w:rFonts w:asciiTheme="minorEastAsia" w:hAnsiTheme="minorEastAsia" w:hint="eastAsia"/>
          <w:sz w:val="22"/>
        </w:rPr>
        <w:t>戸（</w:t>
      </w:r>
      <w:r>
        <w:rPr>
          <w:rFonts w:asciiTheme="minorEastAsia" w:hAnsiTheme="minorEastAsia" w:hint="eastAsia"/>
          <w:sz w:val="22"/>
        </w:rPr>
        <w:t>0.6</w:t>
      </w:r>
      <w:r>
        <w:rPr>
          <w:rFonts w:asciiTheme="minorEastAsia" w:hAnsiTheme="minorEastAsia" w:hint="eastAsia"/>
          <w:sz w:val="22"/>
        </w:rPr>
        <w:t>％）、「基礎の補強」が</w:t>
      </w:r>
      <w:r>
        <w:rPr>
          <w:rFonts w:asciiTheme="minorEastAsia" w:hAnsiTheme="minorEastAsia" w:hint="eastAsia"/>
          <w:sz w:val="22"/>
        </w:rPr>
        <w:t>1,700</w:t>
      </w:r>
      <w:r>
        <w:rPr>
          <w:rFonts w:asciiTheme="minorEastAsia" w:hAnsiTheme="minorEastAsia" w:hint="eastAsia"/>
          <w:sz w:val="22"/>
        </w:rPr>
        <w:t>戸</w:t>
      </w:r>
      <w:r>
        <w:rPr>
          <w:rFonts w:asciiTheme="minorEastAsia" w:hAnsiTheme="minorEastAsia" w:hint="eastAsia"/>
          <w:sz w:val="22"/>
        </w:rPr>
        <w:t>(0.6</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、「筋かいの設置」が</w:t>
      </w:r>
      <w:r>
        <w:rPr>
          <w:rFonts w:asciiTheme="minorEastAsia" w:hAnsiTheme="minorEastAsia" w:hint="eastAsia"/>
          <w:sz w:val="22"/>
        </w:rPr>
        <w:t>1,600</w:t>
      </w:r>
      <w:r>
        <w:rPr>
          <w:rFonts w:asciiTheme="minorEastAsia" w:hAnsiTheme="minorEastAsia" w:hint="eastAsia"/>
          <w:sz w:val="22"/>
        </w:rPr>
        <w:t>戸</w:t>
      </w:r>
      <w:r>
        <w:rPr>
          <w:rFonts w:asciiTheme="minorEastAsia" w:hAnsiTheme="minorEastAsia" w:hint="eastAsia"/>
          <w:sz w:val="22"/>
        </w:rPr>
        <w:t>(0.5</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となっている。</w:t>
      </w:r>
    </w:p>
    <w:p w14:paraId="6B05D983" w14:textId="77777777" w:rsidR="00086DAA" w:rsidRDefault="005541F6">
      <w:pPr>
        <w:ind w:firstLineChars="125" w:firstLine="259"/>
        <w:jc w:val="left"/>
        <w:rPr>
          <w:rFonts w:asciiTheme="minorEastAsia" w:hAnsiTheme="minorEastAsia"/>
          <w:sz w:val="22"/>
        </w:rPr>
      </w:pPr>
      <w:r>
        <w:rPr>
          <w:rFonts w:asciiTheme="minorEastAsia" w:hAnsiTheme="minorEastAsia" w:hint="eastAsia"/>
          <w:sz w:val="22"/>
        </w:rPr>
        <w:t>また、持ち家のうち平成２６年以降に耐震診断が行われた住宅は</w:t>
      </w:r>
      <w:r>
        <w:rPr>
          <w:rFonts w:asciiTheme="minorEastAsia" w:hAnsiTheme="minorEastAsia" w:hint="eastAsia"/>
          <w:sz w:val="22"/>
        </w:rPr>
        <w:t>14,300</w:t>
      </w:r>
      <w:r>
        <w:rPr>
          <w:rFonts w:asciiTheme="minorEastAsia" w:hAnsiTheme="minorEastAsia" w:hint="eastAsia"/>
          <w:sz w:val="22"/>
        </w:rPr>
        <w:t>戸で、持ち家全体の</w:t>
      </w:r>
      <w:r>
        <w:rPr>
          <w:rFonts w:asciiTheme="minorEastAsia" w:hAnsiTheme="minorEastAsia" w:hint="eastAsia"/>
          <w:sz w:val="22"/>
        </w:rPr>
        <w:t>4.8</w:t>
      </w:r>
      <w:r>
        <w:rPr>
          <w:rFonts w:asciiTheme="minorEastAsia" w:hAnsiTheme="minorEastAsia" w:hint="eastAsia"/>
          <w:sz w:val="22"/>
        </w:rPr>
        <w:t>％となっている。このうち、耐震性が確保されていた住宅は</w:t>
      </w:r>
      <w:r>
        <w:rPr>
          <w:rFonts w:asciiTheme="minorEastAsia" w:hAnsiTheme="minorEastAsia" w:hint="eastAsia"/>
          <w:sz w:val="22"/>
        </w:rPr>
        <w:t>13,600</w:t>
      </w:r>
      <w:r>
        <w:rPr>
          <w:rFonts w:asciiTheme="minorEastAsia" w:hAnsiTheme="minorEastAsia" w:hint="eastAsia"/>
          <w:sz w:val="22"/>
        </w:rPr>
        <w:t>戸で同じく</w:t>
      </w:r>
      <w:r>
        <w:rPr>
          <w:rFonts w:asciiTheme="minorEastAsia" w:hAnsiTheme="minorEastAsia" w:hint="eastAsia"/>
          <w:sz w:val="22"/>
        </w:rPr>
        <w:t>4.6</w:t>
      </w:r>
      <w:r>
        <w:rPr>
          <w:rFonts w:asciiTheme="minorEastAsia" w:hAnsiTheme="minorEastAsia" w:hint="eastAsia"/>
          <w:sz w:val="22"/>
        </w:rPr>
        <w:t>％となっている。</w:t>
      </w:r>
    </w:p>
    <w:p w14:paraId="5A766D93" w14:textId="759C2E8A" w:rsidR="00086DAA" w:rsidRDefault="005541F6">
      <w:pPr>
        <w:jc w:val="center"/>
        <w:rPr>
          <w:rFonts w:asciiTheme="minorEastAsia" w:hAnsiTheme="minorEastAsia"/>
          <w:sz w:val="24"/>
        </w:rPr>
      </w:pPr>
      <w:r>
        <w:rPr>
          <w:rFonts w:asciiTheme="minorEastAsia" w:hAnsiTheme="minorEastAsia"/>
          <w:sz w:val="24"/>
        </w:rPr>
        <w:pict w14:anchorId="5A0464CF">
          <v:shape id="_x0000_i1104" type="#_x0000_t75" style="width:460.8pt;height:324pt">
            <v:imagedata r:id="rId73" o:title=""/>
          </v:shape>
        </w:pict>
      </w:r>
    </w:p>
    <w:p w14:paraId="0C568B54" w14:textId="77777777" w:rsidR="00086DAA" w:rsidRDefault="00086DAA">
      <w:pPr>
        <w:jc w:val="left"/>
        <w:rPr>
          <w:rFonts w:asciiTheme="minorEastAsia" w:hAnsiTheme="minorEastAsia"/>
          <w:sz w:val="24"/>
        </w:rPr>
      </w:pPr>
    </w:p>
    <w:p w14:paraId="6F2BD0B5" w14:textId="77777777" w:rsidR="00086DAA" w:rsidRDefault="005541F6">
      <w:pPr>
        <w:jc w:val="left"/>
        <w:rPr>
          <w:rFonts w:asciiTheme="minorEastAsia" w:hAnsiTheme="minorEastAsia"/>
          <w:sz w:val="24"/>
        </w:rPr>
      </w:pPr>
      <w:r>
        <w:rPr>
          <w:noProof/>
        </w:rPr>
        <w:drawing>
          <wp:anchor distT="0" distB="0" distL="114300" distR="114300" simplePos="0" relativeHeight="79" behindDoc="0" locked="0" layoutInCell="1" hidden="0" allowOverlap="1" wp14:anchorId="771051A3" wp14:editId="6D479913">
            <wp:simplePos x="0" y="0"/>
            <wp:positionH relativeFrom="column">
              <wp:posOffset>433705</wp:posOffset>
            </wp:positionH>
            <wp:positionV relativeFrom="paragraph">
              <wp:posOffset>30480</wp:posOffset>
            </wp:positionV>
            <wp:extent cx="5400040" cy="2743200"/>
            <wp:effectExtent l="0" t="0" r="10160" b="0"/>
            <wp:wrapSquare wrapText="bothSides"/>
            <wp:docPr id="109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14:paraId="7EF29C9F" w14:textId="77777777" w:rsidR="00086DAA" w:rsidRDefault="00086DAA">
      <w:pPr>
        <w:jc w:val="left"/>
        <w:rPr>
          <w:rFonts w:asciiTheme="minorEastAsia" w:hAnsiTheme="minorEastAsia"/>
          <w:sz w:val="24"/>
        </w:rPr>
      </w:pPr>
    </w:p>
    <w:p w14:paraId="3C6F7D1E" w14:textId="77777777" w:rsidR="00086DAA" w:rsidRDefault="00086DAA">
      <w:pPr>
        <w:jc w:val="left"/>
        <w:rPr>
          <w:rFonts w:asciiTheme="minorEastAsia" w:hAnsiTheme="minorEastAsia"/>
          <w:sz w:val="24"/>
        </w:rPr>
      </w:pPr>
    </w:p>
    <w:p w14:paraId="1C1FBD65" w14:textId="77777777" w:rsidR="00086DAA" w:rsidRDefault="00086DAA">
      <w:pPr>
        <w:jc w:val="left"/>
        <w:rPr>
          <w:rFonts w:asciiTheme="minorEastAsia" w:hAnsiTheme="minorEastAsia"/>
          <w:sz w:val="24"/>
        </w:rPr>
      </w:pPr>
    </w:p>
    <w:p w14:paraId="08B188D6" w14:textId="77777777" w:rsidR="00086DAA" w:rsidRDefault="00086DAA">
      <w:pPr>
        <w:jc w:val="left"/>
        <w:rPr>
          <w:rFonts w:asciiTheme="minorEastAsia" w:hAnsiTheme="minorEastAsia"/>
          <w:sz w:val="24"/>
        </w:rPr>
      </w:pPr>
    </w:p>
    <w:p w14:paraId="1DDB359D"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7DA48087" w14:textId="77777777" w:rsidR="00086DAA" w:rsidRDefault="005541F6">
      <w:pPr>
        <w:jc w:val="left"/>
        <w:rPr>
          <w:rFonts w:asciiTheme="majorEastAsia" w:eastAsiaTheme="majorEastAsia" w:hAnsiTheme="majorEastAsia"/>
          <w:b/>
          <w:sz w:val="28"/>
        </w:rPr>
      </w:pPr>
      <w:r>
        <w:rPr>
          <w:rFonts w:asciiTheme="majorEastAsia" w:eastAsiaTheme="majorEastAsia" w:hAnsiTheme="majorEastAsia" w:hint="eastAsia"/>
          <w:b/>
          <w:sz w:val="28"/>
        </w:rPr>
        <w:lastRenderedPageBreak/>
        <w:t>Ⅲ　高齢者のいる世帯</w:t>
      </w:r>
    </w:p>
    <w:p w14:paraId="2AE3B999" w14:textId="77777777" w:rsidR="00086DAA" w:rsidRDefault="005541F6">
      <w:pPr>
        <w:ind w:firstLineChars="124" w:firstLine="283"/>
        <w:jc w:val="left"/>
        <w:rPr>
          <w:rFonts w:asciiTheme="majorEastAsia" w:eastAsiaTheme="majorEastAsia" w:hAnsiTheme="majorEastAsia"/>
          <w:b/>
          <w:sz w:val="24"/>
        </w:rPr>
      </w:pPr>
      <w:r>
        <w:rPr>
          <w:rFonts w:asciiTheme="majorEastAsia" w:eastAsiaTheme="majorEastAsia" w:hAnsiTheme="majorEastAsia" w:hint="eastAsia"/>
          <w:b/>
          <w:sz w:val="24"/>
        </w:rPr>
        <w:t>高齢者世帯が大幅に増加する中で、高齢者が安心して暮らせる住まいの確保がより一層重要視されていることから、ここでは高齢者世帯の状況についてみることにする。</w:t>
      </w:r>
    </w:p>
    <w:p w14:paraId="7D53F47A" w14:textId="77777777" w:rsidR="00086DAA" w:rsidRDefault="005541F6">
      <w:pPr>
        <w:ind w:firstLineChars="125" w:firstLine="284"/>
        <w:jc w:val="left"/>
        <w:rPr>
          <w:rFonts w:asciiTheme="majorEastAsia" w:eastAsiaTheme="majorEastAsia" w:hAnsiTheme="majorEastAsia"/>
          <w:sz w:val="24"/>
        </w:rPr>
      </w:pPr>
      <w:r>
        <w:rPr>
          <w:rFonts w:asciiTheme="majorEastAsia" w:eastAsiaTheme="majorEastAsia" w:hAnsiTheme="majorEastAsia" w:hint="eastAsia"/>
          <w:sz w:val="24"/>
        </w:rPr>
        <w:t>なお、この「Ⅲ　高齢者のいる世帯」では、</w:t>
      </w:r>
      <w:r>
        <w:rPr>
          <w:rFonts w:asciiTheme="majorEastAsia" w:eastAsiaTheme="majorEastAsia" w:hAnsiTheme="majorEastAsia" w:hint="eastAsia"/>
          <w:sz w:val="24"/>
        </w:rPr>
        <w:t>65</w:t>
      </w:r>
      <w:r>
        <w:rPr>
          <w:rFonts w:asciiTheme="majorEastAsia" w:eastAsiaTheme="majorEastAsia" w:hAnsiTheme="majorEastAsia" w:hint="eastAsia"/>
          <w:sz w:val="24"/>
        </w:rPr>
        <w:t>歳以上の世帯員のいる主世帯を「高齢者のいる世帯」とし、その世帯を次の三つの型に区分する。</w:t>
      </w:r>
    </w:p>
    <w:p w14:paraId="18D6DA9E" w14:textId="77777777" w:rsidR="00086DAA" w:rsidRDefault="005541F6">
      <w:pPr>
        <w:ind w:firstLineChars="125" w:firstLine="209"/>
        <w:jc w:val="left"/>
        <w:rPr>
          <w:rFonts w:asciiTheme="majorEastAsia" w:eastAsiaTheme="majorEastAsia" w:hAnsiTheme="majorEastAsia"/>
          <w:sz w:val="24"/>
        </w:rPr>
      </w:pPr>
      <w:r>
        <w:rPr>
          <w:rFonts w:asciiTheme="majorEastAsia" w:eastAsiaTheme="majorEastAsia" w:hAnsiTheme="majorEastAsia" w:hint="eastAsia"/>
          <w:noProof/>
          <w:sz w:val="18"/>
        </w:rPr>
        <mc:AlternateContent>
          <mc:Choice Requires="wps">
            <w:drawing>
              <wp:anchor distT="0" distB="0" distL="114300" distR="114300" simplePos="0" relativeHeight="81" behindDoc="0" locked="0" layoutInCell="1" hidden="0" allowOverlap="1" wp14:anchorId="7C970B94" wp14:editId="49A438E2">
                <wp:simplePos x="0" y="0"/>
                <wp:positionH relativeFrom="column">
                  <wp:posOffset>120015</wp:posOffset>
                </wp:positionH>
                <wp:positionV relativeFrom="paragraph">
                  <wp:posOffset>182880</wp:posOffset>
                </wp:positionV>
                <wp:extent cx="5536565" cy="683895"/>
                <wp:effectExtent l="635" t="635" r="29845" b="10795"/>
                <wp:wrapNone/>
                <wp:docPr id="1095" name="正方形/長方形 60"/>
                <wp:cNvGraphicFramePr/>
                <a:graphic xmlns:a="http://schemas.openxmlformats.org/drawingml/2006/main">
                  <a:graphicData uri="http://schemas.microsoft.com/office/word/2010/wordprocessingShape">
                    <wps:wsp>
                      <wps:cNvSpPr/>
                      <wps:spPr>
                        <a:xfrm>
                          <a:off x="0" y="0"/>
                          <a:ext cx="5536565" cy="683895"/>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60" style="mso-wrap-distance-right:9pt;mso-wrap-distance-bottom:0pt;margin-top:14.4pt;mso-position-vertical-relative:text;mso-position-horizontal-relative:text;position:absolute;height:53.85pt;mso-wrap-distance-top:0pt;width:435.95pt;mso-wrap-distance-left:9pt;margin-left:9.44pt;z-index:81;" o:spid="_x0000_s1095" o:allowincell="t" o:allowoverlap="t" filled="f" stroked="t" strokecolor="#000000 [3213]" strokeweight="0.25pt" o:spt="1">
                <v:fill/>
                <v:stroke linestyle="single" endcap="flat" dashstyle="dash" filltype="solid"/>
                <v:textbox style="layout-flow:horizontal;"/>
                <v:imagedata o:title=""/>
                <w10:wrap type="none" anchorx="text" anchory="text"/>
              </v:rect>
            </w:pict>
          </mc:Fallback>
        </mc:AlternateContent>
      </w:r>
    </w:p>
    <w:p w14:paraId="058DA144" w14:textId="77777777" w:rsidR="00086DAA" w:rsidRDefault="005541F6">
      <w:pPr>
        <w:ind w:left="4258" w:hanging="3974"/>
        <w:jc w:val="left"/>
        <w:rPr>
          <w:rFonts w:asciiTheme="majorEastAsia" w:eastAsiaTheme="majorEastAsia" w:hAnsiTheme="majorEastAsia"/>
          <w:sz w:val="18"/>
        </w:rPr>
      </w:pPr>
      <w:r>
        <w:rPr>
          <w:rFonts w:asciiTheme="majorEastAsia" w:eastAsiaTheme="majorEastAsia" w:hAnsiTheme="majorEastAsia" w:hint="eastAsia"/>
          <w:sz w:val="18"/>
        </w:rPr>
        <w:t>①高齢単身世帯・・・・・・・・・・・・・・・・・</w:t>
      </w:r>
      <w:r>
        <w:rPr>
          <w:rFonts w:asciiTheme="majorEastAsia" w:eastAsiaTheme="majorEastAsia" w:hAnsiTheme="majorEastAsia" w:hint="eastAsia"/>
          <w:sz w:val="18"/>
        </w:rPr>
        <w:t>65</w:t>
      </w:r>
      <w:r>
        <w:rPr>
          <w:rFonts w:asciiTheme="majorEastAsia" w:eastAsiaTheme="majorEastAsia" w:hAnsiTheme="majorEastAsia" w:hint="eastAsia"/>
          <w:sz w:val="18"/>
        </w:rPr>
        <w:t>歳以上の単身世帯</w:t>
      </w:r>
    </w:p>
    <w:p w14:paraId="25705438" w14:textId="77777777" w:rsidR="00086DAA" w:rsidRDefault="005541F6">
      <w:pPr>
        <w:ind w:leftChars="144" w:left="4252" w:hangingChars="2372" w:hanging="3968"/>
        <w:jc w:val="left"/>
        <w:rPr>
          <w:rFonts w:asciiTheme="majorEastAsia" w:eastAsiaTheme="majorEastAsia" w:hAnsiTheme="majorEastAsia"/>
          <w:sz w:val="18"/>
        </w:rPr>
      </w:pPr>
      <w:r>
        <w:rPr>
          <w:rFonts w:asciiTheme="majorEastAsia" w:eastAsiaTheme="majorEastAsia" w:hAnsiTheme="majorEastAsia" w:hint="eastAsia"/>
          <w:sz w:val="18"/>
        </w:rPr>
        <w:t>②高齢者のいる夫婦のみの世帯・・・・・・・・・・夫婦とも又はいずれか一方が</w:t>
      </w:r>
      <w:r>
        <w:rPr>
          <w:rFonts w:asciiTheme="majorEastAsia" w:eastAsiaTheme="majorEastAsia" w:hAnsiTheme="majorEastAsia" w:hint="eastAsia"/>
          <w:sz w:val="18"/>
        </w:rPr>
        <w:t>65</w:t>
      </w:r>
      <w:r>
        <w:rPr>
          <w:rFonts w:asciiTheme="majorEastAsia" w:eastAsiaTheme="majorEastAsia" w:hAnsiTheme="majorEastAsia" w:hint="eastAsia"/>
          <w:sz w:val="18"/>
        </w:rPr>
        <w:t>歳以上の夫婦一組のみ世帯</w:t>
      </w:r>
    </w:p>
    <w:p w14:paraId="615BA9C1" w14:textId="77777777" w:rsidR="00086DAA" w:rsidRDefault="005541F6">
      <w:pPr>
        <w:ind w:leftChars="143" w:left="4250" w:hangingChars="2372" w:hanging="3968"/>
        <w:jc w:val="left"/>
        <w:rPr>
          <w:rFonts w:asciiTheme="majorEastAsia" w:eastAsiaTheme="majorEastAsia" w:hAnsiTheme="majorEastAsia"/>
          <w:sz w:val="18"/>
        </w:rPr>
      </w:pPr>
      <w:r>
        <w:rPr>
          <w:rFonts w:asciiTheme="majorEastAsia" w:eastAsiaTheme="majorEastAsia" w:hAnsiTheme="majorEastAsia" w:hint="eastAsia"/>
          <w:sz w:val="18"/>
        </w:rPr>
        <w:t>③高齢者のいるその他の世帯・・・・・・・・・・・高齢者のいる世帯から上記の二つを除いた主世帯</w:t>
      </w:r>
    </w:p>
    <w:p w14:paraId="148C40E9" w14:textId="77777777" w:rsidR="00086DAA" w:rsidRDefault="00086DAA">
      <w:pPr>
        <w:ind w:left="-6" w:firstLineChars="2" w:firstLine="5"/>
        <w:jc w:val="left"/>
        <w:rPr>
          <w:rFonts w:asciiTheme="majorEastAsia" w:eastAsiaTheme="majorEastAsia" w:hAnsiTheme="majorEastAsia"/>
          <w:b/>
          <w:sz w:val="26"/>
        </w:rPr>
      </w:pPr>
    </w:p>
    <w:p w14:paraId="63A2DE6B" w14:textId="77777777" w:rsidR="00086DAA" w:rsidRDefault="005541F6">
      <w:pPr>
        <w:ind w:left="-6" w:firstLineChars="2" w:firstLine="5"/>
        <w:jc w:val="left"/>
        <w:rPr>
          <w:rFonts w:asciiTheme="majorEastAsia" w:eastAsiaTheme="majorEastAsia" w:hAnsiTheme="majorEastAsia"/>
          <w:b/>
          <w:sz w:val="26"/>
        </w:rPr>
      </w:pPr>
      <w:r>
        <w:rPr>
          <w:rFonts w:asciiTheme="majorEastAsia" w:eastAsiaTheme="majorEastAsia" w:hAnsiTheme="majorEastAsia" w:hint="eastAsia"/>
          <w:b/>
          <w:sz w:val="26"/>
        </w:rPr>
        <w:t>１　世帯数の推移</w:t>
      </w:r>
    </w:p>
    <w:p w14:paraId="7A3B9C6A"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高齢者のいる世帯数の推移をみると、昭和</w:t>
      </w:r>
      <w:r>
        <w:rPr>
          <w:rFonts w:asciiTheme="minorEastAsia" w:hAnsiTheme="minorEastAsia" w:hint="eastAsia"/>
          <w:sz w:val="22"/>
        </w:rPr>
        <w:t>63</w:t>
      </w:r>
      <w:r>
        <w:rPr>
          <w:rFonts w:asciiTheme="minorEastAsia" w:hAnsiTheme="minorEastAsia" w:hint="eastAsia"/>
          <w:sz w:val="22"/>
        </w:rPr>
        <w:t>年は</w:t>
      </w:r>
      <w:r>
        <w:rPr>
          <w:rFonts w:asciiTheme="minorEastAsia" w:hAnsiTheme="minorEastAsia" w:hint="eastAsia"/>
          <w:sz w:val="22"/>
        </w:rPr>
        <w:t>127,800</w:t>
      </w:r>
      <w:r>
        <w:rPr>
          <w:rFonts w:asciiTheme="minorEastAsia" w:hAnsiTheme="minorEastAsia" w:hint="eastAsia"/>
          <w:sz w:val="22"/>
        </w:rPr>
        <w:t>世帯であったがその後一貫して増加を続け、平成</w:t>
      </w:r>
      <w:r>
        <w:rPr>
          <w:rFonts w:asciiTheme="minorEastAsia" w:hAnsiTheme="minorEastAsia" w:hint="eastAsia"/>
          <w:sz w:val="22"/>
        </w:rPr>
        <w:t>20</w:t>
      </w:r>
      <w:r>
        <w:rPr>
          <w:rFonts w:asciiTheme="minorEastAsia" w:hAnsiTheme="minorEastAsia" w:hint="eastAsia"/>
          <w:sz w:val="22"/>
        </w:rPr>
        <w:t>年には</w:t>
      </w:r>
      <w:r>
        <w:rPr>
          <w:rFonts w:asciiTheme="minorEastAsia" w:hAnsiTheme="minorEastAsia" w:hint="eastAsia"/>
          <w:sz w:val="22"/>
        </w:rPr>
        <w:t>20</w:t>
      </w:r>
      <w:r>
        <w:rPr>
          <w:rFonts w:asciiTheme="minorEastAsia" w:hAnsiTheme="minorEastAsia" w:hint="eastAsia"/>
          <w:sz w:val="22"/>
        </w:rPr>
        <w:t>万世帯を超え、平成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217,900</w:t>
      </w:r>
      <w:r>
        <w:rPr>
          <w:rFonts w:asciiTheme="minorEastAsia" w:hAnsiTheme="minorEastAsia" w:hint="eastAsia"/>
          <w:sz w:val="22"/>
        </w:rPr>
        <w:t>世帯となって</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5,200</w:t>
      </w:r>
      <w:r>
        <w:rPr>
          <w:rFonts w:asciiTheme="minorEastAsia" w:hAnsiTheme="minorEastAsia" w:hint="eastAsia"/>
          <w:sz w:val="22"/>
        </w:rPr>
        <w:t>世帯増加した。主世帯全体に占める割合も平成</w:t>
      </w:r>
      <w:r>
        <w:rPr>
          <w:rFonts w:asciiTheme="minorEastAsia" w:hAnsiTheme="minorEastAsia" w:hint="eastAsia"/>
          <w:sz w:val="22"/>
        </w:rPr>
        <w:t>15</w:t>
      </w:r>
      <w:r>
        <w:rPr>
          <w:rFonts w:asciiTheme="minorEastAsia" w:hAnsiTheme="minorEastAsia" w:hint="eastAsia"/>
          <w:sz w:val="22"/>
        </w:rPr>
        <w:t>年に</w:t>
      </w:r>
      <w:r>
        <w:rPr>
          <w:rFonts w:asciiTheme="minorEastAsia" w:hAnsiTheme="minorEastAsia" w:hint="eastAsia"/>
          <w:sz w:val="22"/>
        </w:rPr>
        <w:t>50</w:t>
      </w:r>
      <w:r>
        <w:rPr>
          <w:rFonts w:asciiTheme="minorEastAsia" w:hAnsiTheme="minorEastAsia" w:hint="eastAsia"/>
          <w:sz w:val="22"/>
        </w:rPr>
        <w:t>％を超え、平成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56.8</w:t>
      </w:r>
      <w:r>
        <w:rPr>
          <w:rFonts w:asciiTheme="minorEastAsia" w:hAnsiTheme="minorEastAsia" w:hint="eastAsia"/>
          <w:sz w:val="22"/>
        </w:rPr>
        <w:t>％となって</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2.1</w:t>
      </w:r>
      <w:r>
        <w:rPr>
          <w:rFonts w:asciiTheme="minorEastAsia" w:hAnsiTheme="minorEastAsia" w:hint="eastAsia"/>
          <w:sz w:val="22"/>
        </w:rPr>
        <w:t>ポイント増加している。</w:t>
      </w:r>
    </w:p>
    <w:p w14:paraId="5BEC7DC6"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なお、平成</w:t>
      </w:r>
      <w:r>
        <w:rPr>
          <w:rFonts w:asciiTheme="minorEastAsia" w:hAnsiTheme="minorEastAsia" w:hint="eastAsia"/>
          <w:sz w:val="22"/>
        </w:rPr>
        <w:t>30</w:t>
      </w:r>
      <w:r>
        <w:rPr>
          <w:rFonts w:asciiTheme="minorEastAsia" w:hAnsiTheme="minorEastAsia" w:hint="eastAsia"/>
          <w:sz w:val="22"/>
        </w:rPr>
        <w:t>年の「</w:t>
      </w:r>
      <w:r>
        <w:rPr>
          <w:rFonts w:asciiTheme="minorEastAsia" w:hAnsiTheme="minorEastAsia" w:hint="eastAsia"/>
          <w:sz w:val="22"/>
        </w:rPr>
        <w:t>75</w:t>
      </w:r>
      <w:r>
        <w:rPr>
          <w:rFonts w:asciiTheme="minorEastAsia" w:hAnsiTheme="minorEastAsia" w:hint="eastAsia"/>
          <w:sz w:val="22"/>
        </w:rPr>
        <w:t>歳以上世帯員のいる主世帯数」は</w:t>
      </w:r>
      <w:r>
        <w:rPr>
          <w:rFonts w:asciiTheme="minorEastAsia" w:hAnsiTheme="minorEastAsia" w:hint="eastAsia"/>
          <w:sz w:val="22"/>
        </w:rPr>
        <w:t>130,100</w:t>
      </w:r>
      <w:r>
        <w:rPr>
          <w:rFonts w:asciiTheme="minorEastAsia" w:hAnsiTheme="minorEastAsia" w:hint="eastAsia"/>
          <w:sz w:val="22"/>
        </w:rPr>
        <w:t>世帯で、</w:t>
      </w:r>
      <w:r>
        <w:rPr>
          <w:rFonts w:asciiTheme="minorEastAsia" w:hAnsiTheme="minorEastAsia" w:hint="eastAsia"/>
          <w:sz w:val="22"/>
        </w:rPr>
        <w:t>25</w:t>
      </w:r>
      <w:r>
        <w:rPr>
          <w:rFonts w:asciiTheme="minorEastAsia" w:hAnsiTheme="minorEastAsia" w:hint="eastAsia"/>
          <w:sz w:val="22"/>
        </w:rPr>
        <w:t>年に比べ</w:t>
      </w:r>
      <w:r>
        <w:rPr>
          <w:rFonts w:asciiTheme="minorEastAsia" w:hAnsiTheme="minorEastAsia" w:hint="eastAsia"/>
          <w:sz w:val="22"/>
        </w:rPr>
        <w:t>900</w:t>
      </w:r>
      <w:r>
        <w:rPr>
          <w:rFonts w:asciiTheme="minorEastAsia" w:hAnsiTheme="minorEastAsia" w:hint="eastAsia"/>
          <w:sz w:val="22"/>
        </w:rPr>
        <w:t>世帯減少し、主世帯全体に占める割合は</w:t>
      </w:r>
      <w:r>
        <w:rPr>
          <w:rFonts w:asciiTheme="minorEastAsia" w:hAnsiTheme="minorEastAsia" w:hint="eastAsia"/>
          <w:sz w:val="22"/>
        </w:rPr>
        <w:t>33.9</w:t>
      </w:r>
      <w:r>
        <w:rPr>
          <w:rFonts w:asciiTheme="minorEastAsia" w:hAnsiTheme="minorEastAsia" w:hint="eastAsia"/>
          <w:sz w:val="22"/>
        </w:rPr>
        <w:t>％となり</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0.2</w:t>
      </w:r>
      <w:r>
        <w:rPr>
          <w:rFonts w:asciiTheme="minorEastAsia" w:hAnsiTheme="minorEastAsia" w:hint="eastAsia"/>
          <w:sz w:val="22"/>
        </w:rPr>
        <w:t>ポイント減少している。</w:t>
      </w:r>
    </w:p>
    <w:p w14:paraId="1AA20B18" w14:textId="3619A322" w:rsidR="00086DAA" w:rsidRDefault="005541F6">
      <w:pPr>
        <w:ind w:left="-6" w:firstLineChars="2" w:firstLine="5"/>
        <w:jc w:val="left"/>
        <w:rPr>
          <w:rFonts w:asciiTheme="majorEastAsia" w:eastAsiaTheme="majorEastAsia" w:hAnsiTheme="majorEastAsia"/>
          <w:sz w:val="24"/>
        </w:rPr>
      </w:pPr>
      <w:r>
        <w:rPr>
          <w:rFonts w:asciiTheme="majorEastAsia" w:eastAsiaTheme="majorEastAsia" w:hAnsiTheme="majorEastAsia"/>
          <w:sz w:val="24"/>
        </w:rPr>
        <w:pict w14:anchorId="04511830">
          <v:shape id="_x0000_i1102" type="#_x0000_t75" style="width:482.4pt;height:381.6pt">
            <v:imagedata r:id="rId75" o:title=""/>
          </v:shape>
        </w:pict>
      </w:r>
      <w:r>
        <w:rPr>
          <w:rFonts w:asciiTheme="majorEastAsia" w:eastAsiaTheme="majorEastAsia" w:hAnsiTheme="majorEastAsia"/>
          <w:sz w:val="24"/>
        </w:rPr>
        <w:br w:type="page"/>
      </w:r>
    </w:p>
    <w:p w14:paraId="55905C5A" w14:textId="77777777" w:rsidR="00086DAA" w:rsidRDefault="005541F6">
      <w:pPr>
        <w:ind w:left="-6" w:firstLineChars="2" w:firstLine="4"/>
        <w:jc w:val="left"/>
        <w:rPr>
          <w:rFonts w:asciiTheme="majorEastAsia" w:eastAsiaTheme="majorEastAsia" w:hAnsiTheme="majorEastAsia"/>
          <w:sz w:val="24"/>
        </w:rPr>
      </w:pPr>
      <w:r>
        <w:rPr>
          <w:noProof/>
        </w:rPr>
        <w:lastRenderedPageBreak/>
        <w:drawing>
          <wp:inline distT="0" distB="0" distL="0" distR="0" wp14:anchorId="3FB877F3" wp14:editId="17CDAF3C">
            <wp:extent cx="3095625" cy="2638425"/>
            <wp:effectExtent l="0" t="0" r="9525" b="9525"/>
            <wp:docPr id="1097"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Pr>
          <w:noProof/>
        </w:rPr>
        <w:drawing>
          <wp:inline distT="0" distB="0" distL="0" distR="0" wp14:anchorId="4CF3313E" wp14:editId="46DBB87F">
            <wp:extent cx="3124200" cy="2638425"/>
            <wp:effectExtent l="0" t="0" r="0" b="9525"/>
            <wp:docPr id="109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E33D139"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高齢者のいる世帯について、昭和</w:t>
      </w:r>
      <w:r>
        <w:rPr>
          <w:rFonts w:asciiTheme="minorEastAsia" w:hAnsiTheme="minorEastAsia" w:hint="eastAsia"/>
          <w:sz w:val="22"/>
        </w:rPr>
        <w:t>63</w:t>
      </w:r>
      <w:r>
        <w:rPr>
          <w:rFonts w:asciiTheme="minorEastAsia" w:hAnsiTheme="minorEastAsia" w:hint="eastAsia"/>
          <w:sz w:val="22"/>
        </w:rPr>
        <w:t>年以降の世帯の型別の推移をみると、「高齢単身主世帯」は一貫して上昇を続けており、平成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53,500</w:t>
      </w:r>
      <w:r>
        <w:rPr>
          <w:rFonts w:asciiTheme="minorEastAsia" w:hAnsiTheme="minorEastAsia" w:hint="eastAsia"/>
          <w:sz w:val="22"/>
        </w:rPr>
        <w:t>世帯で</w:t>
      </w:r>
      <w:r>
        <w:rPr>
          <w:rFonts w:asciiTheme="minorEastAsia" w:hAnsiTheme="minorEastAsia" w:hint="eastAsia"/>
          <w:sz w:val="22"/>
        </w:rPr>
        <w:t>25</w:t>
      </w:r>
      <w:r>
        <w:rPr>
          <w:rFonts w:asciiTheme="minorEastAsia" w:hAnsiTheme="minorEastAsia" w:hint="eastAsia"/>
          <w:sz w:val="22"/>
        </w:rPr>
        <w:t>年に比べ</w:t>
      </w:r>
      <w:r>
        <w:rPr>
          <w:rFonts w:asciiTheme="minorEastAsia" w:hAnsiTheme="minorEastAsia" w:hint="eastAsia"/>
          <w:sz w:val="22"/>
        </w:rPr>
        <w:t>8,900</w:t>
      </w:r>
      <w:r>
        <w:rPr>
          <w:rFonts w:asciiTheme="minorEastAsia" w:hAnsiTheme="minorEastAsia" w:hint="eastAsia"/>
          <w:sz w:val="22"/>
        </w:rPr>
        <w:t>世帯増加し、高齢者のいる世帯に占める割合は</w:t>
      </w:r>
      <w:r>
        <w:rPr>
          <w:rFonts w:asciiTheme="minorEastAsia" w:hAnsiTheme="minorEastAsia" w:hint="eastAsia"/>
          <w:sz w:val="22"/>
        </w:rPr>
        <w:t>24.6</w:t>
      </w:r>
      <w:r>
        <w:rPr>
          <w:rFonts w:asciiTheme="minorEastAsia" w:hAnsiTheme="minorEastAsia" w:hint="eastAsia"/>
          <w:sz w:val="22"/>
        </w:rPr>
        <w:t>％で</w:t>
      </w:r>
      <w:r>
        <w:rPr>
          <w:rFonts w:asciiTheme="minorEastAsia" w:hAnsiTheme="minorEastAsia" w:hint="eastAsia"/>
          <w:sz w:val="22"/>
        </w:rPr>
        <w:t>25</w:t>
      </w:r>
      <w:r>
        <w:rPr>
          <w:rFonts w:asciiTheme="minorEastAsia" w:hAnsiTheme="minorEastAsia" w:hint="eastAsia"/>
          <w:sz w:val="22"/>
        </w:rPr>
        <w:t>年に比べ</w:t>
      </w:r>
      <w:r>
        <w:rPr>
          <w:rFonts w:asciiTheme="minorEastAsia" w:hAnsiTheme="minorEastAsia" w:hint="eastAsia"/>
          <w:sz w:val="22"/>
        </w:rPr>
        <w:t>3.6</w:t>
      </w:r>
      <w:r>
        <w:rPr>
          <w:rFonts w:asciiTheme="minorEastAsia" w:hAnsiTheme="minorEastAsia" w:hint="eastAsia"/>
          <w:sz w:val="22"/>
        </w:rPr>
        <w:t>ポイント上昇した。また、「高齢者のいる夫婦のみの世帯」も平成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51,000</w:t>
      </w:r>
      <w:r>
        <w:rPr>
          <w:rFonts w:asciiTheme="minorEastAsia" w:hAnsiTheme="minorEastAsia" w:hint="eastAsia"/>
          <w:sz w:val="22"/>
        </w:rPr>
        <w:t>世帯となって</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3,800</w:t>
      </w:r>
      <w:r>
        <w:rPr>
          <w:rFonts w:asciiTheme="minorEastAsia" w:hAnsiTheme="minorEastAsia" w:hint="eastAsia"/>
          <w:sz w:val="22"/>
        </w:rPr>
        <w:t>世帯増加し、高齢者のいる世帯に占める割合は</w:t>
      </w:r>
      <w:r>
        <w:rPr>
          <w:rFonts w:asciiTheme="minorEastAsia" w:hAnsiTheme="minorEastAsia" w:hint="eastAsia"/>
          <w:sz w:val="22"/>
        </w:rPr>
        <w:t>23.4</w:t>
      </w:r>
      <w:r>
        <w:rPr>
          <w:rFonts w:asciiTheme="minorEastAsia" w:hAnsiTheme="minorEastAsia" w:hint="eastAsia"/>
          <w:sz w:val="22"/>
        </w:rPr>
        <w:t>％となっている。</w:t>
      </w:r>
    </w:p>
    <w:p w14:paraId="44EE3A18"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これら二つの世帯が高齢者のいる世帯に占める割合は、昭和</w:t>
      </w:r>
      <w:r>
        <w:rPr>
          <w:rFonts w:asciiTheme="minorEastAsia" w:hAnsiTheme="minorEastAsia" w:hint="eastAsia"/>
          <w:sz w:val="22"/>
        </w:rPr>
        <w:t>63</w:t>
      </w:r>
      <w:r>
        <w:rPr>
          <w:rFonts w:asciiTheme="minorEastAsia" w:hAnsiTheme="minorEastAsia" w:hint="eastAsia"/>
          <w:sz w:val="22"/>
        </w:rPr>
        <w:t>年には</w:t>
      </w:r>
      <w:r>
        <w:rPr>
          <w:rFonts w:asciiTheme="minorEastAsia" w:hAnsiTheme="minorEastAsia" w:hint="eastAsia"/>
          <w:sz w:val="22"/>
        </w:rPr>
        <w:t>22.2</w:t>
      </w:r>
      <w:r>
        <w:rPr>
          <w:rFonts w:asciiTheme="minorEastAsia" w:hAnsiTheme="minorEastAsia" w:hint="eastAsia"/>
          <w:sz w:val="22"/>
        </w:rPr>
        <w:t>％であったが平成</w:t>
      </w:r>
      <w:r>
        <w:rPr>
          <w:rFonts w:asciiTheme="minorEastAsia" w:hAnsiTheme="minorEastAsia" w:hint="eastAsia"/>
          <w:sz w:val="22"/>
        </w:rPr>
        <w:t>30</w:t>
      </w:r>
      <w:r>
        <w:rPr>
          <w:rFonts w:asciiTheme="minorEastAsia" w:hAnsiTheme="minorEastAsia" w:hint="eastAsia"/>
          <w:sz w:val="22"/>
        </w:rPr>
        <w:t>年は</w:t>
      </w:r>
      <w:r>
        <w:rPr>
          <w:rFonts w:asciiTheme="minorEastAsia" w:hAnsiTheme="minorEastAsia" w:hint="eastAsia"/>
          <w:sz w:val="22"/>
        </w:rPr>
        <w:t>48.0</w:t>
      </w:r>
      <w:r>
        <w:rPr>
          <w:rFonts w:asciiTheme="minorEastAsia" w:hAnsiTheme="minorEastAsia" w:hint="eastAsia"/>
          <w:sz w:val="22"/>
        </w:rPr>
        <w:t>％まで上昇しており、高齢</w:t>
      </w:r>
      <w:r>
        <w:rPr>
          <w:rFonts w:asciiTheme="minorEastAsia" w:hAnsiTheme="minorEastAsia" w:hint="eastAsia"/>
          <w:sz w:val="22"/>
        </w:rPr>
        <w:t>者のいる世帯の中において高齢単身世帯及び高齢者のいる夫婦のみの世帯の増加が目立っている。</w:t>
      </w:r>
    </w:p>
    <w:p w14:paraId="02378204" w14:textId="77777777" w:rsidR="00086DAA" w:rsidRDefault="00086DAA">
      <w:pPr>
        <w:ind w:left="-6" w:firstLineChars="2" w:firstLine="5"/>
        <w:jc w:val="left"/>
        <w:rPr>
          <w:rFonts w:asciiTheme="majorEastAsia" w:eastAsiaTheme="majorEastAsia" w:hAnsiTheme="majorEastAsia"/>
          <w:sz w:val="24"/>
        </w:rPr>
      </w:pPr>
    </w:p>
    <w:p w14:paraId="26837805" w14:textId="77777777" w:rsidR="00086DAA" w:rsidRDefault="005541F6">
      <w:pPr>
        <w:ind w:left="-6" w:firstLineChars="2" w:firstLine="4"/>
        <w:jc w:val="center"/>
        <w:rPr>
          <w:rFonts w:asciiTheme="majorEastAsia" w:eastAsiaTheme="majorEastAsia" w:hAnsiTheme="majorEastAsia"/>
          <w:sz w:val="24"/>
        </w:rPr>
      </w:pPr>
      <w:r>
        <w:rPr>
          <w:noProof/>
        </w:rPr>
        <w:drawing>
          <wp:inline distT="0" distB="0" distL="0" distR="0" wp14:anchorId="40ECCAD6" wp14:editId="5390F198">
            <wp:extent cx="5259705" cy="3094990"/>
            <wp:effectExtent l="0" t="0" r="17145" b="10160"/>
            <wp:docPr id="1099"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CA023E0" w14:textId="77777777" w:rsidR="00086DAA" w:rsidRDefault="005541F6">
      <w:pPr>
        <w:widowControl/>
        <w:jc w:val="left"/>
        <w:rPr>
          <w:rFonts w:asciiTheme="majorEastAsia" w:eastAsiaTheme="majorEastAsia" w:hAnsiTheme="majorEastAsia"/>
          <w:sz w:val="24"/>
        </w:rPr>
      </w:pPr>
      <w:r>
        <w:rPr>
          <w:rFonts w:asciiTheme="majorEastAsia" w:eastAsiaTheme="majorEastAsia" w:hAnsiTheme="majorEastAsia"/>
          <w:sz w:val="24"/>
        </w:rPr>
        <w:br w:type="page"/>
      </w:r>
    </w:p>
    <w:p w14:paraId="468CFA81" w14:textId="77777777" w:rsidR="00086DAA" w:rsidRDefault="005541F6">
      <w:pPr>
        <w:ind w:left="-6" w:firstLineChars="2" w:firstLine="5"/>
        <w:jc w:val="left"/>
        <w:rPr>
          <w:rFonts w:asciiTheme="majorEastAsia" w:eastAsiaTheme="majorEastAsia" w:hAnsiTheme="majorEastAsia"/>
          <w:sz w:val="26"/>
        </w:rPr>
      </w:pPr>
      <w:r>
        <w:rPr>
          <w:rFonts w:asciiTheme="majorEastAsia" w:eastAsiaTheme="majorEastAsia" w:hAnsiTheme="majorEastAsia" w:hint="eastAsia"/>
          <w:sz w:val="26"/>
        </w:rPr>
        <w:lastRenderedPageBreak/>
        <w:t>２　住宅の建て方・所有の関係</w:t>
      </w:r>
    </w:p>
    <w:p w14:paraId="2972EE32"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高齢者のいる世帯が居住する住宅を建て方別にみると、一戸建が</w:t>
      </w:r>
      <w:r>
        <w:rPr>
          <w:rFonts w:asciiTheme="minorEastAsia" w:hAnsiTheme="minorEastAsia" w:hint="eastAsia"/>
          <w:sz w:val="22"/>
        </w:rPr>
        <w:t>205,900</w:t>
      </w:r>
      <w:r>
        <w:rPr>
          <w:rFonts w:asciiTheme="minorEastAsia" w:hAnsiTheme="minorEastAsia" w:hint="eastAsia"/>
          <w:sz w:val="22"/>
        </w:rPr>
        <w:t>戸</w:t>
      </w:r>
      <w:r>
        <w:rPr>
          <w:rFonts w:asciiTheme="minorEastAsia" w:hAnsiTheme="minorEastAsia" w:hint="eastAsia"/>
          <w:sz w:val="22"/>
        </w:rPr>
        <w:t>(94.5</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で最も多く、次いで共同住宅が</w:t>
      </w:r>
      <w:r>
        <w:rPr>
          <w:rFonts w:asciiTheme="minorEastAsia" w:hAnsiTheme="minorEastAsia" w:hint="eastAsia"/>
          <w:sz w:val="22"/>
        </w:rPr>
        <w:t>8,600</w:t>
      </w:r>
      <w:r>
        <w:rPr>
          <w:rFonts w:asciiTheme="minorEastAsia" w:hAnsiTheme="minorEastAsia" w:hint="eastAsia"/>
          <w:sz w:val="22"/>
        </w:rPr>
        <w:t>戸</w:t>
      </w:r>
      <w:r>
        <w:rPr>
          <w:rFonts w:asciiTheme="minorEastAsia" w:hAnsiTheme="minorEastAsia" w:hint="eastAsia"/>
          <w:sz w:val="22"/>
        </w:rPr>
        <w:t>(3.9</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などとなっている。</w:t>
      </w:r>
    </w:p>
    <w:p w14:paraId="3928CB02"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建て方別の割合を高齢者世帯の型別にみると、「高齢者のいる夫婦のみの世帯」及び「高齢者のいるその他の世帯」では一戸建がそれぞれ</w:t>
      </w:r>
      <w:r>
        <w:rPr>
          <w:rFonts w:asciiTheme="minorEastAsia" w:hAnsiTheme="minorEastAsia" w:hint="eastAsia"/>
          <w:sz w:val="22"/>
        </w:rPr>
        <w:t>95.5</w:t>
      </w:r>
      <w:r>
        <w:rPr>
          <w:rFonts w:asciiTheme="minorEastAsia" w:hAnsiTheme="minorEastAsia" w:hint="eastAsia"/>
          <w:sz w:val="22"/>
        </w:rPr>
        <w:t>％、</w:t>
      </w:r>
      <w:r>
        <w:rPr>
          <w:rFonts w:asciiTheme="minorEastAsia" w:hAnsiTheme="minorEastAsia" w:hint="eastAsia"/>
          <w:sz w:val="22"/>
        </w:rPr>
        <w:t>97.4</w:t>
      </w:r>
      <w:r>
        <w:rPr>
          <w:rFonts w:asciiTheme="minorEastAsia" w:hAnsiTheme="minorEastAsia" w:hint="eastAsia"/>
          <w:sz w:val="22"/>
        </w:rPr>
        <w:t>％と非常に高い割合を示している。これに対して、「高齢単身世帯」では一戸建が</w:t>
      </w:r>
      <w:r>
        <w:rPr>
          <w:rFonts w:asciiTheme="minorEastAsia" w:hAnsiTheme="minorEastAsia" w:hint="eastAsia"/>
          <w:sz w:val="22"/>
        </w:rPr>
        <w:t>87.3</w:t>
      </w:r>
      <w:r>
        <w:rPr>
          <w:rFonts w:asciiTheme="minorEastAsia" w:hAnsiTheme="minorEastAsia" w:hint="eastAsia"/>
          <w:sz w:val="22"/>
        </w:rPr>
        <w:t>％、共同住宅が</w:t>
      </w:r>
      <w:r>
        <w:rPr>
          <w:rFonts w:asciiTheme="minorEastAsia" w:hAnsiTheme="minorEastAsia" w:hint="eastAsia"/>
          <w:sz w:val="22"/>
        </w:rPr>
        <w:t>9.5</w:t>
      </w:r>
      <w:r>
        <w:rPr>
          <w:rFonts w:asciiTheme="minorEastAsia" w:hAnsiTheme="minorEastAsia" w:hint="eastAsia"/>
          <w:sz w:val="22"/>
        </w:rPr>
        <w:t>％となっており、共同住宅の割合が</w:t>
      </w:r>
      <w:r>
        <w:rPr>
          <w:rFonts w:asciiTheme="minorEastAsia" w:hAnsiTheme="minorEastAsia" w:hint="eastAsia"/>
          <w:sz w:val="22"/>
        </w:rPr>
        <w:t>10%</w:t>
      </w:r>
      <w:r>
        <w:rPr>
          <w:rFonts w:asciiTheme="minorEastAsia" w:hAnsiTheme="minorEastAsia" w:hint="eastAsia"/>
          <w:sz w:val="22"/>
        </w:rPr>
        <w:t>近くになっている。</w:t>
      </w:r>
    </w:p>
    <w:p w14:paraId="6D00D335"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また、共同住宅に居住する高齢者のいる世帯について、共同住宅の設備状況をみると、エレベーターありの住宅に居住する世帯の割合は</w:t>
      </w:r>
      <w:r>
        <w:rPr>
          <w:rFonts w:asciiTheme="minorEastAsia" w:hAnsiTheme="minorEastAsia" w:hint="eastAsia"/>
          <w:sz w:val="22"/>
        </w:rPr>
        <w:t>30.2</w:t>
      </w:r>
      <w:r>
        <w:rPr>
          <w:rFonts w:asciiTheme="minorEastAsia" w:hAnsiTheme="minorEastAsia" w:hint="eastAsia"/>
          <w:sz w:val="22"/>
        </w:rPr>
        <w:t>％となっている。これを世帯の型別にみると、「高齢単身世帯」は</w:t>
      </w:r>
      <w:r>
        <w:rPr>
          <w:rFonts w:asciiTheme="minorEastAsia" w:hAnsiTheme="minorEastAsia" w:hint="eastAsia"/>
          <w:sz w:val="22"/>
        </w:rPr>
        <w:t>25.5</w:t>
      </w:r>
      <w:r>
        <w:rPr>
          <w:rFonts w:asciiTheme="minorEastAsia" w:hAnsiTheme="minorEastAsia" w:hint="eastAsia"/>
          <w:sz w:val="22"/>
        </w:rPr>
        <w:t>％、「高齢</w:t>
      </w:r>
      <w:r>
        <w:rPr>
          <w:rFonts w:asciiTheme="minorEastAsia" w:hAnsiTheme="minorEastAsia" w:hint="eastAsia"/>
          <w:sz w:val="22"/>
        </w:rPr>
        <w:t>者のいる夫婦のみの世帯」は</w:t>
      </w:r>
      <w:r>
        <w:rPr>
          <w:rFonts w:asciiTheme="minorEastAsia" w:hAnsiTheme="minorEastAsia" w:hint="eastAsia"/>
          <w:sz w:val="22"/>
        </w:rPr>
        <w:t>43.8</w:t>
      </w:r>
      <w:r>
        <w:rPr>
          <w:rFonts w:asciiTheme="minorEastAsia" w:hAnsiTheme="minorEastAsia" w:hint="eastAsia"/>
          <w:sz w:val="22"/>
        </w:rPr>
        <w:t>％となっているが、「高齢者のいるその他の世帯」では</w:t>
      </w:r>
      <w:r>
        <w:rPr>
          <w:rFonts w:asciiTheme="minorEastAsia" w:hAnsiTheme="minorEastAsia" w:hint="eastAsia"/>
          <w:sz w:val="22"/>
        </w:rPr>
        <w:t>31.6</w:t>
      </w:r>
      <w:r>
        <w:rPr>
          <w:rFonts w:asciiTheme="minorEastAsia" w:hAnsiTheme="minorEastAsia" w:hint="eastAsia"/>
          <w:sz w:val="22"/>
        </w:rPr>
        <w:t>％に止まっている。</w:t>
      </w:r>
    </w:p>
    <w:p w14:paraId="53B37D08"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なお、共同住宅に居住する高齢者のいる世帯のうち、高齢者対応型の共同住宅（注）に居住する世帯の割合は</w:t>
      </w:r>
      <w:r>
        <w:rPr>
          <w:rFonts w:asciiTheme="minorEastAsia" w:hAnsiTheme="minorEastAsia" w:hint="eastAsia"/>
          <w:sz w:val="22"/>
        </w:rPr>
        <w:t>11.6</w:t>
      </w:r>
      <w:r>
        <w:rPr>
          <w:rFonts w:asciiTheme="minorEastAsia" w:hAnsiTheme="minorEastAsia" w:hint="eastAsia"/>
          <w:sz w:val="22"/>
        </w:rPr>
        <w:t>％となっている。</w:t>
      </w:r>
    </w:p>
    <w:p w14:paraId="27D08196" w14:textId="77777777" w:rsidR="00086DAA" w:rsidRDefault="005541F6">
      <w:pPr>
        <w:ind w:left="-6" w:firstLineChars="2" w:firstLine="4"/>
        <w:jc w:val="left"/>
        <w:rPr>
          <w:rFonts w:asciiTheme="minorEastAsia" w:hAnsiTheme="minorEastAsia"/>
          <w:sz w:val="24"/>
        </w:rPr>
      </w:pPr>
      <w:r>
        <w:rPr>
          <w:noProof/>
        </w:rPr>
        <mc:AlternateContent>
          <mc:Choice Requires="wps">
            <w:drawing>
              <wp:anchor distT="0" distB="0" distL="114300" distR="114300" simplePos="0" relativeHeight="19" behindDoc="0" locked="0" layoutInCell="1" hidden="0" allowOverlap="1" wp14:anchorId="26466019" wp14:editId="74E154F4">
                <wp:simplePos x="0" y="0"/>
                <wp:positionH relativeFrom="column">
                  <wp:posOffset>313690</wp:posOffset>
                </wp:positionH>
                <wp:positionV relativeFrom="paragraph">
                  <wp:posOffset>7620</wp:posOffset>
                </wp:positionV>
                <wp:extent cx="5934075" cy="1323975"/>
                <wp:effectExtent l="635" t="635" r="29845" b="10795"/>
                <wp:wrapNone/>
                <wp:docPr id="1100" name="テキスト ボックス 9"/>
                <wp:cNvGraphicFramePr/>
                <a:graphic xmlns:a="http://schemas.openxmlformats.org/drawingml/2006/main">
                  <a:graphicData uri="http://schemas.microsoft.com/office/word/2010/wordprocessingShape">
                    <wps:wsp>
                      <wps:cNvSpPr txBox="1"/>
                      <wps:spPr>
                        <a:xfrm>
                          <a:off x="0" y="0"/>
                          <a:ext cx="5934075" cy="1323975"/>
                        </a:xfrm>
                        <a:prstGeom prst="rect">
                          <a:avLst/>
                        </a:prstGeom>
                        <a:solidFill>
                          <a:sysClr val="window" lastClr="FFFFFF"/>
                        </a:solidFill>
                        <a:ln w="6350" cmpd="sng">
                          <a:solidFill>
                            <a:sysClr val="windowText" lastClr="000000"/>
                          </a:solidFill>
                          <a:prstDash val="dash"/>
                        </a:ln>
                        <a:effectLst/>
                      </wps:spPr>
                      <wps:txbx>
                        <w:txbxContent>
                          <w:p w14:paraId="6AB2EDA6" w14:textId="77777777" w:rsidR="00086DAA" w:rsidRDefault="005541F6">
                            <w:pPr>
                              <w:rPr>
                                <w:rFonts w:ascii="ＭＳ ゴシック" w:eastAsia="ＭＳ ゴシック" w:hAnsi="ＭＳ ゴシック"/>
                                <w:color w:val="000000"/>
                                <w:sz w:val="18"/>
                              </w:rPr>
                            </w:pPr>
                            <w:r>
                              <w:rPr>
                                <w:rFonts w:ascii="ＭＳ ゴシック" w:eastAsia="ＭＳ ゴシック" w:hAnsi="ＭＳ ゴシック" w:hint="eastAsia"/>
                                <w:color w:val="000000"/>
                                <w:sz w:val="18"/>
                              </w:rPr>
                              <w:t>（</w:t>
                            </w:r>
                            <w:r>
                              <w:rPr>
                                <w:rFonts w:ascii="ＭＳ ゴシック" w:eastAsia="ＭＳ ゴシック" w:hAnsi="ＭＳ ゴシック" w:hint="eastAsia"/>
                                <w:color w:val="000000"/>
                                <w:sz w:val="18"/>
                              </w:rPr>
                              <w:t>注</w:t>
                            </w:r>
                            <w:r>
                              <w:rPr>
                                <w:rFonts w:ascii="ＭＳ ゴシック" w:eastAsia="ＭＳ ゴシック" w:hAnsi="ＭＳ ゴシック" w:hint="eastAsia"/>
                                <w:color w:val="000000"/>
                                <w:sz w:val="18"/>
                              </w:rPr>
                              <w:t>)</w:t>
                            </w:r>
                            <w:r>
                              <w:rPr>
                                <w:rFonts w:ascii="ＭＳ ゴシック" w:eastAsia="ＭＳ ゴシック" w:hAnsi="ＭＳ ゴシック" w:hint="eastAsia"/>
                                <w:color w:val="000000"/>
                                <w:sz w:val="18"/>
                              </w:rPr>
                              <w:t>「高齢者対応型の共同住宅」とは、その敷地に接している道路から共同住宅の各住宅の入り口まで、介助なしに</w:t>
                            </w:r>
                          </w:p>
                          <w:p w14:paraId="6D53E0A1" w14:textId="77777777" w:rsidR="00086DAA" w:rsidRDefault="005541F6">
                            <w:pPr>
                              <w:ind w:firstLineChars="300" w:firstLine="502"/>
                              <w:rPr>
                                <w:rFonts w:ascii="ＭＳ ゴシック" w:eastAsia="ＭＳ ゴシック" w:hAnsi="ＭＳ ゴシック"/>
                              </w:rPr>
                            </w:pPr>
                            <w:r>
                              <w:rPr>
                                <w:rFonts w:ascii="ＭＳ ゴシック" w:eastAsia="ＭＳ ゴシック" w:hAnsi="ＭＳ ゴシック" w:hint="eastAsia"/>
                                <w:color w:val="000000"/>
                                <w:sz w:val="18"/>
                              </w:rPr>
                              <w:t>車いすで通行できる構造になっているもので、次の三つの要件を概ね満たしているものをいう。</w:t>
                            </w:r>
                          </w:p>
                          <w:p w14:paraId="45DD6CD6" w14:textId="77777777" w:rsidR="00086DAA" w:rsidRDefault="005541F6">
                            <w:pPr>
                              <w:rPr>
                                <w:rFonts w:ascii="ＭＳ ゴシック" w:eastAsia="ＭＳ ゴシック" w:hAnsi="ＭＳ ゴシック"/>
                              </w:rPr>
                            </w:pPr>
                            <w:r>
                              <w:rPr>
                                <w:rFonts w:ascii="ＭＳ ゴシック" w:eastAsia="ＭＳ ゴシック" w:hAnsi="ＭＳ ゴシック" w:hint="eastAsia"/>
                                <w:color w:val="000000"/>
                                <w:sz w:val="18"/>
                              </w:rPr>
                              <w:t xml:space="preserve">　　　　①道路から建物内まで高低差がある場合は、傾斜路が設置してあること。</w:t>
                            </w:r>
                          </w:p>
                          <w:p w14:paraId="5AA51A64" w14:textId="77777777" w:rsidR="00086DAA" w:rsidRDefault="005541F6">
                            <w:pPr>
                              <w:rPr>
                                <w:rFonts w:ascii="ＭＳ ゴシック" w:eastAsia="ＭＳ ゴシック" w:hAnsi="ＭＳ ゴシック"/>
                              </w:rPr>
                            </w:pPr>
                            <w:r>
                              <w:rPr>
                                <w:rFonts w:ascii="ＭＳ ゴシック" w:eastAsia="ＭＳ ゴシック" w:hAnsi="ＭＳ ゴシック" w:hint="eastAsia"/>
                                <w:color w:val="000000"/>
                                <w:sz w:val="18"/>
                              </w:rPr>
                              <w:t xml:space="preserve">　　　　②エレベーターの入り口の幅が</w:t>
                            </w:r>
                            <w:r>
                              <w:rPr>
                                <w:rFonts w:ascii="ＭＳ ゴシック" w:eastAsia="ＭＳ ゴシック" w:hAnsi="ＭＳ ゴシック" w:hint="eastAsia"/>
                                <w:color w:val="000000"/>
                                <w:sz w:val="18"/>
                              </w:rPr>
                              <w:t>80</w:t>
                            </w:r>
                            <w:r>
                              <w:rPr>
                                <w:rFonts w:ascii="ＭＳ ゴシック" w:eastAsia="ＭＳ ゴシック" w:hAnsi="ＭＳ ゴシック" w:hint="eastAsia"/>
                                <w:color w:val="000000"/>
                                <w:sz w:val="18"/>
                              </w:rPr>
                              <w:t>㎝以上あり、乗り場ボタン及びエレベーター内の操作盤が車いす利用</w:t>
                            </w:r>
                          </w:p>
                          <w:p w14:paraId="0AF26791" w14:textId="77777777" w:rsidR="00086DAA" w:rsidRDefault="005541F6">
                            <w:pPr>
                              <w:rPr>
                                <w:rFonts w:ascii="ＭＳ ゴシック" w:eastAsia="ＭＳ ゴシック" w:hAnsi="ＭＳ ゴシック"/>
                              </w:rPr>
                            </w:pPr>
                            <w:r>
                              <w:rPr>
                                <w:rFonts w:ascii="ＭＳ ゴシック" w:eastAsia="ＭＳ ゴシック" w:hAnsi="ＭＳ ゴシック" w:hint="eastAsia"/>
                                <w:color w:val="000000"/>
                                <w:sz w:val="18"/>
                              </w:rPr>
                              <w:t xml:space="preserve">　　　　　者に配慮した設計になっていること。</w:t>
                            </w:r>
                          </w:p>
                          <w:p w14:paraId="107BD51C" w14:textId="77777777" w:rsidR="00086DAA" w:rsidRDefault="005541F6">
                            <w:pPr>
                              <w:rPr>
                                <w:rFonts w:ascii="ＭＳ ゴシック" w:eastAsia="ＭＳ ゴシック" w:hAnsi="ＭＳ ゴシック"/>
                                <w:sz w:val="20"/>
                              </w:rPr>
                            </w:pPr>
                            <w:r>
                              <w:rPr>
                                <w:rFonts w:ascii="ＭＳ ゴシック" w:eastAsia="ＭＳ ゴシック" w:hAnsi="ＭＳ ゴシック" w:hint="eastAsia"/>
                                <w:color w:val="000000"/>
                                <w:sz w:val="18"/>
                              </w:rPr>
                              <w:t xml:space="preserve">　　　　③共用の廊下に段差がなく、その幅が</w:t>
                            </w:r>
                            <w:r>
                              <w:rPr>
                                <w:rFonts w:ascii="ＭＳ ゴシック" w:eastAsia="ＭＳ ゴシック" w:hAnsi="ＭＳ ゴシック" w:hint="eastAsia"/>
                                <w:color w:val="000000"/>
                                <w:sz w:val="18"/>
                              </w:rPr>
                              <w:t>140</w:t>
                            </w:r>
                            <w:r>
                              <w:rPr>
                                <w:rFonts w:ascii="ＭＳ ゴシック" w:eastAsia="ＭＳ ゴシック" w:hAnsi="ＭＳ ゴシック" w:hint="eastAsia"/>
                                <w:color w:val="000000"/>
                                <w:sz w:val="18"/>
                              </w:rPr>
                              <w:t>㎝以上であること</w:t>
                            </w:r>
                            <w:r>
                              <w:rPr>
                                <w:rFonts w:ascii="ＭＳ ゴシック" w:eastAsia="ＭＳ ゴシック" w:hAnsi="ＭＳ ゴシック" w:hint="eastAsia"/>
                                <w:color w:val="000000"/>
                                <w:sz w:val="16"/>
                              </w:rPr>
                              <w:t>。</w:t>
                            </w:r>
                          </w:p>
                        </w:txbxContent>
                      </wps:txbx>
                      <wps:bodyPr vertOverflow="clip" horzOverflow="clip" wrap="square" lIns="72000" tIns="54000" rIns="72000" bIns="54000" rtlCol="0" anchor="t"/>
                    </wps:wsp>
                  </a:graphicData>
                </a:graphic>
              </wp:anchor>
            </w:drawing>
          </mc:Choice>
          <mc:Fallback>
            <w:pict>
              <v:shapetype id="_x0000_t202" coordsize="21600,21600" o:spt="202" path="m,l,21600r21600,l21600,xe">
                <v:stroke joinstyle="miter"/>
                <v:path gradientshapeok="t" o:connecttype="rect"/>
              </v:shapetype>
              <v:shape id="テキスト ボックス 9" style="mso-wrap-distance-right:9pt;mso-wrap-distance-bottom:0pt;margin-top:0.6pt;mso-position-vertical-relative:text;mso-position-horizontal-relative:text;v-text-anchor:top;position:absolute;height:104.25pt;mso-wrap-distance-top:0pt;width:467.25pt;mso-wrap-distance-left:9pt;margin-left:24.7pt;z-index:19;" o:spid="_x0000_s1100" o:allowincell="t" o:allowoverlap="t" filled="t" fillcolor="#ffffff" stroked="t" strokecolor="#000000" strokeweight="0.5pt" o:spt="202" type="#_x0000_t202">
                <v:fill/>
                <v:stroke linestyle="single" dashstyle="dash" filltype="solid"/>
                <v:textbox style="layout-flow:horizontal;" inset="1.9999999999999996mm,1.4999999999999998mm,1.9999999999999996mm,1.4999999999999998mm">
                  <w:txbxContent>
                    <w:p>
                      <w:pPr>
                        <w:pStyle w:val="0"/>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（注</w:t>
                      </w:r>
                      <w:r>
                        <w:rPr>
                          <w:rFonts w:hint="eastAsia" w:ascii="ＭＳ ゴシック" w:hAnsi="ＭＳ ゴシック" w:eastAsia="ＭＳ ゴシック"/>
                          <w:color w:val="000000"/>
                          <w:sz w:val="18"/>
                        </w:rPr>
                        <w:t>)</w:t>
                      </w:r>
                      <w:r>
                        <w:rPr>
                          <w:rFonts w:hint="eastAsia" w:ascii="ＭＳ ゴシック" w:hAnsi="ＭＳ ゴシック" w:eastAsia="ＭＳ ゴシック"/>
                          <w:color w:val="000000"/>
                          <w:sz w:val="18"/>
                        </w:rPr>
                        <w:t>「高齢者対応型の共同住宅」とは、その敷地に接している道路から共同住宅の各住宅の入り口まで、介助なしに</w:t>
                      </w:r>
                    </w:p>
                    <w:p>
                      <w:pPr>
                        <w:pStyle w:val="0"/>
                        <w:ind w:firstLine="502" w:firstLineChars="300"/>
                        <w:rPr>
                          <w:rFonts w:hint="default" w:ascii="ＭＳ ゴシック" w:hAnsi="ＭＳ ゴシック" w:eastAsia="ＭＳ ゴシック"/>
                        </w:rPr>
                      </w:pPr>
                      <w:r>
                        <w:rPr>
                          <w:rFonts w:hint="eastAsia" w:ascii="ＭＳ ゴシック" w:hAnsi="ＭＳ ゴシック" w:eastAsia="ＭＳ ゴシック"/>
                          <w:color w:val="000000"/>
                          <w:sz w:val="18"/>
                        </w:rPr>
                        <w:t>車いすで通行できる構造になっているもので、次の三つの要件を概ね満たしているものをいう。</w:t>
                      </w:r>
                    </w:p>
                    <w:p>
                      <w:pPr>
                        <w:pStyle w:val="0"/>
                        <w:rPr>
                          <w:rFonts w:hint="default" w:ascii="ＭＳ ゴシック" w:hAnsi="ＭＳ ゴシック" w:eastAsia="ＭＳ ゴシック"/>
                        </w:rPr>
                      </w:pPr>
                      <w:r>
                        <w:rPr>
                          <w:rFonts w:hint="eastAsia" w:ascii="ＭＳ ゴシック" w:hAnsi="ＭＳ ゴシック" w:eastAsia="ＭＳ ゴシック"/>
                          <w:color w:val="000000"/>
                          <w:sz w:val="18"/>
                        </w:rPr>
                        <w:t>　　　　①道路から建物内まで高低差がある場合は、傾斜路が設置してあること。</w:t>
                      </w:r>
                    </w:p>
                    <w:p>
                      <w:pPr>
                        <w:pStyle w:val="0"/>
                        <w:rPr>
                          <w:rFonts w:hint="default" w:ascii="ＭＳ ゴシック" w:hAnsi="ＭＳ ゴシック" w:eastAsia="ＭＳ ゴシック"/>
                        </w:rPr>
                      </w:pPr>
                      <w:r>
                        <w:rPr>
                          <w:rFonts w:hint="eastAsia" w:ascii="ＭＳ ゴシック" w:hAnsi="ＭＳ ゴシック" w:eastAsia="ＭＳ ゴシック"/>
                          <w:color w:val="000000"/>
                          <w:sz w:val="18"/>
                        </w:rPr>
                        <w:t>　　　　②エレベーターの入り口の幅が</w:t>
                      </w:r>
                      <w:r>
                        <w:rPr>
                          <w:rFonts w:hint="eastAsia" w:ascii="ＭＳ ゴシック" w:hAnsi="ＭＳ ゴシック" w:eastAsia="ＭＳ ゴシック"/>
                          <w:color w:val="000000"/>
                          <w:sz w:val="18"/>
                        </w:rPr>
                        <w:t>80</w:t>
                      </w:r>
                      <w:r>
                        <w:rPr>
                          <w:rFonts w:hint="eastAsia" w:ascii="ＭＳ ゴシック" w:hAnsi="ＭＳ ゴシック" w:eastAsia="ＭＳ ゴシック"/>
                          <w:color w:val="000000"/>
                          <w:sz w:val="18"/>
                        </w:rPr>
                        <w:t>㎝以上あり、乗り場ボタン及びエレベーター内の操作盤が車いす利用</w:t>
                      </w:r>
                    </w:p>
                    <w:p>
                      <w:pPr>
                        <w:pStyle w:val="0"/>
                        <w:rPr>
                          <w:rFonts w:hint="default" w:ascii="ＭＳ ゴシック" w:hAnsi="ＭＳ ゴシック" w:eastAsia="ＭＳ ゴシック"/>
                        </w:rPr>
                      </w:pPr>
                      <w:r>
                        <w:rPr>
                          <w:rFonts w:hint="eastAsia" w:ascii="ＭＳ ゴシック" w:hAnsi="ＭＳ ゴシック" w:eastAsia="ＭＳ ゴシック"/>
                          <w:color w:val="000000"/>
                          <w:sz w:val="18"/>
                        </w:rPr>
                        <w:t>　　　　　者に配慮した設計になっていること。</w:t>
                      </w:r>
                    </w:p>
                    <w:p>
                      <w:pPr>
                        <w:pStyle w:val="0"/>
                        <w:rPr>
                          <w:rFonts w:hint="default" w:ascii="ＭＳ ゴシック" w:hAnsi="ＭＳ ゴシック" w:eastAsia="ＭＳ ゴシック"/>
                          <w:sz w:val="20"/>
                        </w:rPr>
                      </w:pPr>
                      <w:r>
                        <w:rPr>
                          <w:rFonts w:hint="eastAsia" w:ascii="ＭＳ ゴシック" w:hAnsi="ＭＳ ゴシック" w:eastAsia="ＭＳ ゴシック"/>
                          <w:color w:val="000000"/>
                          <w:sz w:val="18"/>
                        </w:rPr>
                        <w:t>　　　　③共用の廊下に段差がなく、その幅が</w:t>
                      </w:r>
                      <w:r>
                        <w:rPr>
                          <w:rFonts w:hint="eastAsia" w:ascii="ＭＳ ゴシック" w:hAnsi="ＭＳ ゴシック" w:eastAsia="ＭＳ ゴシック"/>
                          <w:color w:val="000000"/>
                          <w:sz w:val="18"/>
                        </w:rPr>
                        <w:t>140</w:t>
                      </w:r>
                      <w:r>
                        <w:rPr>
                          <w:rFonts w:hint="eastAsia" w:ascii="ＭＳ ゴシック" w:hAnsi="ＭＳ ゴシック" w:eastAsia="ＭＳ ゴシック"/>
                          <w:color w:val="000000"/>
                          <w:sz w:val="18"/>
                        </w:rPr>
                        <w:t>㎝以上であること</w:t>
                      </w:r>
                      <w:r>
                        <w:rPr>
                          <w:rFonts w:hint="eastAsia" w:ascii="ＭＳ ゴシック" w:hAnsi="ＭＳ ゴシック" w:eastAsia="ＭＳ ゴシック"/>
                          <w:color w:val="000000"/>
                          <w:sz w:val="16"/>
                        </w:rPr>
                        <w:t>。</w:t>
                      </w:r>
                    </w:p>
                  </w:txbxContent>
                </v:textbox>
                <v:imagedata o:title=""/>
                <w10:wrap type="none" anchorx="text" anchory="text"/>
              </v:shape>
            </w:pict>
          </mc:Fallback>
        </mc:AlternateContent>
      </w:r>
    </w:p>
    <w:p w14:paraId="05081DA1" w14:textId="77777777" w:rsidR="00086DAA" w:rsidRDefault="00086DAA">
      <w:pPr>
        <w:ind w:left="-6" w:firstLineChars="2" w:firstLine="5"/>
        <w:jc w:val="left"/>
        <w:rPr>
          <w:rFonts w:asciiTheme="minorEastAsia" w:hAnsiTheme="minorEastAsia"/>
          <w:sz w:val="24"/>
        </w:rPr>
      </w:pPr>
    </w:p>
    <w:p w14:paraId="23655D91" w14:textId="77777777" w:rsidR="00086DAA" w:rsidRDefault="00086DAA">
      <w:pPr>
        <w:ind w:left="-6" w:firstLineChars="2" w:firstLine="5"/>
        <w:jc w:val="left"/>
        <w:rPr>
          <w:rFonts w:asciiTheme="minorEastAsia" w:hAnsiTheme="minorEastAsia"/>
          <w:sz w:val="24"/>
        </w:rPr>
      </w:pPr>
    </w:p>
    <w:p w14:paraId="02C3405F" w14:textId="77777777" w:rsidR="00086DAA" w:rsidRDefault="00086DAA">
      <w:pPr>
        <w:ind w:left="-6" w:firstLineChars="2" w:firstLine="5"/>
        <w:jc w:val="left"/>
        <w:rPr>
          <w:rFonts w:asciiTheme="minorEastAsia" w:hAnsiTheme="minorEastAsia"/>
          <w:sz w:val="24"/>
        </w:rPr>
      </w:pPr>
    </w:p>
    <w:p w14:paraId="178934EF" w14:textId="77777777" w:rsidR="00086DAA" w:rsidRDefault="00086DAA">
      <w:pPr>
        <w:ind w:left="-6" w:firstLineChars="2" w:firstLine="5"/>
        <w:jc w:val="left"/>
        <w:rPr>
          <w:rFonts w:asciiTheme="minorEastAsia" w:hAnsiTheme="minorEastAsia"/>
          <w:sz w:val="24"/>
        </w:rPr>
      </w:pPr>
    </w:p>
    <w:p w14:paraId="05C0860D" w14:textId="77777777" w:rsidR="00086DAA" w:rsidRDefault="00086DAA">
      <w:pPr>
        <w:ind w:left="-6" w:firstLineChars="2" w:firstLine="5"/>
        <w:jc w:val="left"/>
        <w:rPr>
          <w:rFonts w:asciiTheme="minorEastAsia" w:hAnsiTheme="minorEastAsia"/>
          <w:sz w:val="24"/>
        </w:rPr>
      </w:pPr>
    </w:p>
    <w:p w14:paraId="45E3674E" w14:textId="77777777" w:rsidR="00086DAA" w:rsidRDefault="00086DAA">
      <w:pPr>
        <w:ind w:left="-6" w:firstLineChars="2" w:firstLine="5"/>
        <w:jc w:val="left"/>
        <w:rPr>
          <w:rFonts w:asciiTheme="minorEastAsia" w:hAnsiTheme="minorEastAsia"/>
          <w:sz w:val="24"/>
        </w:rPr>
      </w:pPr>
    </w:p>
    <w:p w14:paraId="3FFEF939" w14:textId="320836EE" w:rsidR="00086DAA" w:rsidRDefault="005541F6">
      <w:pPr>
        <w:ind w:left="-6" w:firstLineChars="2" w:firstLine="5"/>
        <w:jc w:val="center"/>
        <w:rPr>
          <w:rFonts w:asciiTheme="minorEastAsia" w:hAnsiTheme="minorEastAsia"/>
          <w:sz w:val="24"/>
        </w:rPr>
      </w:pPr>
      <w:r>
        <w:rPr>
          <w:rFonts w:asciiTheme="minorEastAsia" w:hAnsiTheme="minorEastAsia"/>
          <w:sz w:val="24"/>
        </w:rPr>
        <w:pict w14:anchorId="5A8EC429">
          <v:shape id="_x0000_i1100" type="#_x0000_t75" style="width:475.2pt;height:3in">
            <v:imagedata r:id="rId79" o:title=""/>
          </v:shape>
        </w:pict>
      </w:r>
    </w:p>
    <w:p w14:paraId="33ABCA09" w14:textId="77777777" w:rsidR="00086DAA" w:rsidRDefault="005541F6">
      <w:pPr>
        <w:ind w:left="-6" w:firstLineChars="2" w:firstLine="4"/>
        <w:jc w:val="left"/>
        <w:rPr>
          <w:rFonts w:asciiTheme="minorEastAsia" w:hAnsiTheme="minorEastAsia"/>
          <w:sz w:val="24"/>
        </w:rPr>
      </w:pPr>
      <w:r>
        <w:rPr>
          <w:noProof/>
        </w:rPr>
        <w:lastRenderedPageBreak/>
        <w:drawing>
          <wp:anchor distT="0" distB="0" distL="114300" distR="114300" simplePos="0" relativeHeight="20" behindDoc="0" locked="0" layoutInCell="1" hidden="0" allowOverlap="1" wp14:anchorId="21302ECE" wp14:editId="2F41BFE1">
            <wp:simplePos x="0" y="0"/>
            <wp:positionH relativeFrom="column">
              <wp:posOffset>400685</wp:posOffset>
            </wp:positionH>
            <wp:positionV relativeFrom="paragraph">
              <wp:posOffset>78740</wp:posOffset>
            </wp:positionV>
            <wp:extent cx="5469255" cy="2047240"/>
            <wp:effectExtent l="0" t="0" r="17145" b="10160"/>
            <wp:wrapSquare wrapText="bothSides"/>
            <wp:docPr id="110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14:paraId="60729C4D" w14:textId="77777777" w:rsidR="00086DAA" w:rsidRDefault="00086DAA">
      <w:pPr>
        <w:ind w:left="-6" w:firstLineChars="2" w:firstLine="5"/>
        <w:jc w:val="left"/>
        <w:rPr>
          <w:rFonts w:asciiTheme="minorEastAsia" w:hAnsiTheme="minorEastAsia"/>
          <w:sz w:val="24"/>
        </w:rPr>
      </w:pPr>
    </w:p>
    <w:p w14:paraId="27E3186E" w14:textId="77777777" w:rsidR="00086DAA" w:rsidRDefault="00086DAA">
      <w:pPr>
        <w:ind w:left="-6" w:firstLineChars="2" w:firstLine="5"/>
        <w:jc w:val="left"/>
        <w:rPr>
          <w:rFonts w:asciiTheme="minorEastAsia" w:hAnsiTheme="minorEastAsia"/>
          <w:sz w:val="24"/>
        </w:rPr>
      </w:pPr>
    </w:p>
    <w:p w14:paraId="4E2D015C" w14:textId="77777777" w:rsidR="00086DAA" w:rsidRDefault="00086DAA">
      <w:pPr>
        <w:ind w:left="-6" w:firstLineChars="2" w:firstLine="5"/>
        <w:jc w:val="left"/>
        <w:rPr>
          <w:rFonts w:asciiTheme="minorEastAsia" w:hAnsiTheme="minorEastAsia"/>
          <w:sz w:val="24"/>
        </w:rPr>
      </w:pPr>
    </w:p>
    <w:p w14:paraId="2F9A189D" w14:textId="77777777" w:rsidR="00086DAA" w:rsidRDefault="00086DAA">
      <w:pPr>
        <w:ind w:left="-6" w:firstLineChars="2" w:firstLine="5"/>
        <w:jc w:val="left"/>
        <w:rPr>
          <w:rFonts w:asciiTheme="minorEastAsia" w:hAnsiTheme="minorEastAsia"/>
          <w:sz w:val="24"/>
        </w:rPr>
      </w:pPr>
    </w:p>
    <w:p w14:paraId="45AF11FB" w14:textId="77777777" w:rsidR="00086DAA" w:rsidRDefault="00086DAA">
      <w:pPr>
        <w:ind w:left="-6" w:firstLineChars="2" w:firstLine="5"/>
        <w:jc w:val="left"/>
        <w:rPr>
          <w:rFonts w:asciiTheme="minorEastAsia" w:hAnsiTheme="minorEastAsia"/>
          <w:sz w:val="24"/>
        </w:rPr>
      </w:pPr>
    </w:p>
    <w:p w14:paraId="6851A6F1" w14:textId="77777777" w:rsidR="00086DAA" w:rsidRDefault="00086DAA">
      <w:pPr>
        <w:ind w:left="-6" w:firstLineChars="2" w:firstLine="5"/>
        <w:jc w:val="left"/>
        <w:rPr>
          <w:rFonts w:asciiTheme="minorEastAsia" w:hAnsiTheme="minorEastAsia"/>
          <w:sz w:val="24"/>
        </w:rPr>
      </w:pPr>
    </w:p>
    <w:p w14:paraId="1F7E66CF" w14:textId="77777777" w:rsidR="00086DAA" w:rsidRDefault="00086DAA">
      <w:pPr>
        <w:ind w:left="-6" w:firstLineChars="2" w:firstLine="5"/>
        <w:jc w:val="left"/>
        <w:rPr>
          <w:rFonts w:asciiTheme="minorEastAsia" w:hAnsiTheme="minorEastAsia"/>
          <w:sz w:val="24"/>
        </w:rPr>
      </w:pPr>
    </w:p>
    <w:p w14:paraId="4F3AE552" w14:textId="77777777" w:rsidR="00086DAA" w:rsidRDefault="00086DAA">
      <w:pPr>
        <w:ind w:left="-6" w:firstLineChars="2" w:firstLine="5"/>
        <w:jc w:val="left"/>
        <w:rPr>
          <w:rFonts w:asciiTheme="minorEastAsia" w:hAnsiTheme="minorEastAsia"/>
          <w:sz w:val="24"/>
        </w:rPr>
      </w:pPr>
    </w:p>
    <w:p w14:paraId="217C57A1" w14:textId="77777777" w:rsidR="00086DAA" w:rsidRDefault="00086DAA">
      <w:pPr>
        <w:ind w:left="-6" w:firstLineChars="2" w:firstLine="5"/>
        <w:jc w:val="left"/>
        <w:rPr>
          <w:rFonts w:asciiTheme="minorEastAsia" w:hAnsiTheme="minorEastAsia"/>
          <w:sz w:val="24"/>
        </w:rPr>
      </w:pPr>
    </w:p>
    <w:p w14:paraId="3A3A70FD"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6F0D67E8"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lastRenderedPageBreak/>
        <w:t>高齢者のいる世帯が居住する住宅を所有の関係別にみると、持ち家が</w:t>
      </w:r>
      <w:r>
        <w:rPr>
          <w:rFonts w:asciiTheme="minorEastAsia" w:hAnsiTheme="minorEastAsia" w:hint="eastAsia"/>
          <w:sz w:val="22"/>
        </w:rPr>
        <w:t>203,100(93.0</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、借家が</w:t>
      </w:r>
      <w:r>
        <w:rPr>
          <w:rFonts w:asciiTheme="minorEastAsia" w:hAnsiTheme="minorEastAsia" w:hint="eastAsia"/>
          <w:sz w:val="22"/>
        </w:rPr>
        <w:t>14,600</w:t>
      </w:r>
      <w:r>
        <w:rPr>
          <w:rFonts w:asciiTheme="minorEastAsia" w:hAnsiTheme="minorEastAsia" w:hint="eastAsia"/>
          <w:sz w:val="22"/>
        </w:rPr>
        <w:t>戸</w:t>
      </w:r>
      <w:r>
        <w:rPr>
          <w:rFonts w:asciiTheme="minorEastAsia" w:hAnsiTheme="minorEastAsia" w:hint="eastAsia"/>
          <w:sz w:val="22"/>
        </w:rPr>
        <w:t>(6.7</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となっていて、持ち家の比率が圧倒的に高くなっている。</w:t>
      </w:r>
    </w:p>
    <w:p w14:paraId="705832DA"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また、高齢者世帯の型別に所有の関係別割合をみると、いずれも持ち家の比率が高い傾向ではあるものの、「高齢単身世帯」では持ち家が</w:t>
      </w:r>
      <w:r>
        <w:rPr>
          <w:rFonts w:asciiTheme="minorEastAsia" w:hAnsiTheme="minorEastAsia" w:hint="eastAsia"/>
          <w:sz w:val="22"/>
        </w:rPr>
        <w:t>85.0</w:t>
      </w:r>
      <w:r>
        <w:rPr>
          <w:rFonts w:asciiTheme="minorEastAsia" w:hAnsiTheme="minorEastAsia" w:hint="eastAsia"/>
          <w:sz w:val="22"/>
        </w:rPr>
        <w:t>％、借家が</w:t>
      </w:r>
      <w:r>
        <w:rPr>
          <w:rFonts w:asciiTheme="minorEastAsia" w:hAnsiTheme="minorEastAsia" w:hint="eastAsia"/>
          <w:sz w:val="22"/>
        </w:rPr>
        <w:t>14.8</w:t>
      </w:r>
      <w:r>
        <w:rPr>
          <w:rFonts w:asciiTheme="minorEastAsia" w:hAnsiTheme="minorEastAsia" w:hint="eastAsia"/>
          <w:sz w:val="22"/>
        </w:rPr>
        <w:t>％となっており、他の型に比べ借家の割合が高くなっている。</w:t>
      </w:r>
    </w:p>
    <w:p w14:paraId="02A3D3E7" w14:textId="1747A6DC" w:rsidR="00086DAA" w:rsidRDefault="005541F6">
      <w:pPr>
        <w:ind w:left="-6" w:firstLineChars="2" w:firstLine="5"/>
        <w:jc w:val="center"/>
        <w:rPr>
          <w:rFonts w:asciiTheme="minorEastAsia" w:hAnsiTheme="minorEastAsia"/>
          <w:sz w:val="24"/>
        </w:rPr>
      </w:pPr>
      <w:r>
        <w:rPr>
          <w:rFonts w:asciiTheme="minorEastAsia" w:hAnsiTheme="minorEastAsia"/>
          <w:sz w:val="24"/>
        </w:rPr>
        <w:pict w14:anchorId="7EFBA721">
          <v:shape id="_x0000_i1098" type="#_x0000_t75" style="width:468pt;height:2in">
            <v:imagedata r:id="rId81" o:title=""/>
          </v:shape>
        </w:pict>
      </w:r>
    </w:p>
    <w:p w14:paraId="6204FE63" w14:textId="77777777" w:rsidR="00086DAA" w:rsidRDefault="00086DAA">
      <w:pPr>
        <w:ind w:left="-6" w:firstLineChars="127" w:firstLine="289"/>
        <w:jc w:val="left"/>
        <w:rPr>
          <w:rFonts w:asciiTheme="minorEastAsia" w:hAnsiTheme="minorEastAsia"/>
          <w:sz w:val="24"/>
        </w:rPr>
      </w:pPr>
    </w:p>
    <w:p w14:paraId="74A00204" w14:textId="77777777" w:rsidR="00086DAA" w:rsidRDefault="005541F6">
      <w:pPr>
        <w:ind w:left="-6" w:firstLineChars="127" w:firstLine="251"/>
        <w:jc w:val="left"/>
        <w:rPr>
          <w:rFonts w:asciiTheme="minorEastAsia" w:hAnsiTheme="minorEastAsia"/>
          <w:sz w:val="24"/>
        </w:rPr>
      </w:pPr>
      <w:r>
        <w:rPr>
          <w:noProof/>
        </w:rPr>
        <w:drawing>
          <wp:anchor distT="0" distB="0" distL="114300" distR="114300" simplePos="0" relativeHeight="22" behindDoc="0" locked="0" layoutInCell="1" hidden="0" allowOverlap="1" wp14:anchorId="0A2964CE" wp14:editId="0A1324FE">
            <wp:simplePos x="0" y="0"/>
            <wp:positionH relativeFrom="column">
              <wp:posOffset>433705</wp:posOffset>
            </wp:positionH>
            <wp:positionV relativeFrom="paragraph">
              <wp:posOffset>23495</wp:posOffset>
            </wp:positionV>
            <wp:extent cx="5418455" cy="2557780"/>
            <wp:effectExtent l="0" t="0" r="10795" b="13970"/>
            <wp:wrapSquare wrapText="bothSides"/>
            <wp:docPr id="110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p>
    <w:p w14:paraId="397A536E" w14:textId="77777777" w:rsidR="00086DAA" w:rsidRDefault="00086DAA">
      <w:pPr>
        <w:ind w:left="-6" w:firstLineChars="127" w:firstLine="289"/>
        <w:jc w:val="left"/>
        <w:rPr>
          <w:rFonts w:asciiTheme="minorEastAsia" w:hAnsiTheme="minorEastAsia"/>
          <w:sz w:val="24"/>
        </w:rPr>
      </w:pPr>
    </w:p>
    <w:p w14:paraId="24DF8618" w14:textId="77777777" w:rsidR="00086DAA" w:rsidRDefault="00086DAA">
      <w:pPr>
        <w:ind w:left="-6" w:firstLineChars="127" w:firstLine="289"/>
        <w:jc w:val="left"/>
        <w:rPr>
          <w:rFonts w:asciiTheme="minorEastAsia" w:hAnsiTheme="minorEastAsia"/>
          <w:sz w:val="24"/>
        </w:rPr>
      </w:pPr>
    </w:p>
    <w:p w14:paraId="2E28061C" w14:textId="77777777" w:rsidR="00086DAA" w:rsidRDefault="00086DAA">
      <w:pPr>
        <w:ind w:left="-6" w:firstLineChars="127" w:firstLine="289"/>
        <w:jc w:val="left"/>
        <w:rPr>
          <w:rFonts w:asciiTheme="minorEastAsia" w:hAnsiTheme="minorEastAsia"/>
          <w:sz w:val="24"/>
        </w:rPr>
      </w:pPr>
    </w:p>
    <w:p w14:paraId="507F2D46" w14:textId="77777777" w:rsidR="00086DAA" w:rsidRDefault="00086DAA">
      <w:pPr>
        <w:ind w:left="-6" w:firstLineChars="127" w:firstLine="289"/>
        <w:jc w:val="left"/>
        <w:rPr>
          <w:rFonts w:asciiTheme="minorEastAsia" w:hAnsiTheme="minorEastAsia"/>
          <w:sz w:val="24"/>
        </w:rPr>
      </w:pPr>
    </w:p>
    <w:p w14:paraId="39F8ACBF" w14:textId="77777777" w:rsidR="00086DAA" w:rsidRDefault="00086DAA">
      <w:pPr>
        <w:ind w:left="-6" w:firstLineChars="127" w:firstLine="289"/>
        <w:jc w:val="left"/>
        <w:rPr>
          <w:rFonts w:asciiTheme="minorEastAsia" w:hAnsiTheme="minorEastAsia"/>
          <w:sz w:val="24"/>
        </w:rPr>
      </w:pPr>
    </w:p>
    <w:p w14:paraId="1407FED2" w14:textId="77777777" w:rsidR="00086DAA" w:rsidRDefault="00086DAA">
      <w:pPr>
        <w:ind w:left="-6" w:firstLineChars="127" w:firstLine="289"/>
        <w:jc w:val="left"/>
        <w:rPr>
          <w:rFonts w:asciiTheme="minorEastAsia" w:hAnsiTheme="minorEastAsia"/>
          <w:sz w:val="24"/>
        </w:rPr>
      </w:pPr>
    </w:p>
    <w:p w14:paraId="11C77331" w14:textId="77777777" w:rsidR="00086DAA" w:rsidRDefault="00086DAA">
      <w:pPr>
        <w:ind w:left="-6" w:firstLineChars="127" w:firstLine="289"/>
        <w:jc w:val="left"/>
        <w:rPr>
          <w:rFonts w:asciiTheme="minorEastAsia" w:hAnsiTheme="minorEastAsia"/>
          <w:sz w:val="24"/>
        </w:rPr>
      </w:pPr>
    </w:p>
    <w:p w14:paraId="2B9ADB6B" w14:textId="77777777" w:rsidR="00086DAA" w:rsidRDefault="00086DAA">
      <w:pPr>
        <w:ind w:left="-6" w:firstLineChars="127" w:firstLine="289"/>
        <w:jc w:val="left"/>
        <w:rPr>
          <w:rFonts w:asciiTheme="minorEastAsia" w:hAnsiTheme="minorEastAsia"/>
          <w:sz w:val="24"/>
        </w:rPr>
      </w:pPr>
    </w:p>
    <w:p w14:paraId="6EE06FAF" w14:textId="77777777" w:rsidR="00086DAA" w:rsidRDefault="00086DAA">
      <w:pPr>
        <w:ind w:left="-6" w:firstLineChars="127" w:firstLine="289"/>
        <w:jc w:val="left"/>
        <w:rPr>
          <w:rFonts w:asciiTheme="minorEastAsia" w:hAnsiTheme="minorEastAsia"/>
          <w:sz w:val="24"/>
        </w:rPr>
      </w:pPr>
    </w:p>
    <w:p w14:paraId="33298848" w14:textId="77777777" w:rsidR="00086DAA" w:rsidRDefault="00086DAA">
      <w:pPr>
        <w:ind w:left="-6" w:firstLineChars="2" w:firstLine="5"/>
        <w:jc w:val="left"/>
        <w:rPr>
          <w:rFonts w:asciiTheme="minorEastAsia" w:hAnsiTheme="minorEastAsia"/>
          <w:sz w:val="24"/>
        </w:rPr>
      </w:pPr>
    </w:p>
    <w:p w14:paraId="5B5E07CC" w14:textId="77777777" w:rsidR="00086DAA" w:rsidRDefault="00086DAA">
      <w:pPr>
        <w:widowControl/>
        <w:jc w:val="left"/>
        <w:rPr>
          <w:rFonts w:asciiTheme="minorEastAsia" w:hAnsiTheme="minorEastAsia"/>
          <w:sz w:val="24"/>
        </w:rPr>
      </w:pPr>
    </w:p>
    <w:p w14:paraId="415E0E8D" w14:textId="77777777" w:rsidR="00086DAA" w:rsidRDefault="00086DAA">
      <w:pPr>
        <w:widowControl/>
        <w:jc w:val="left"/>
        <w:rPr>
          <w:rFonts w:asciiTheme="minorEastAsia" w:hAnsiTheme="minorEastAsia"/>
          <w:sz w:val="24"/>
        </w:rPr>
      </w:pPr>
    </w:p>
    <w:p w14:paraId="50611136" w14:textId="77777777" w:rsidR="00086DAA" w:rsidRDefault="00086DAA">
      <w:pPr>
        <w:widowControl/>
        <w:jc w:val="left"/>
        <w:rPr>
          <w:rFonts w:asciiTheme="minorEastAsia" w:hAnsiTheme="minorEastAsia"/>
          <w:sz w:val="24"/>
        </w:rPr>
      </w:pPr>
    </w:p>
    <w:p w14:paraId="36DE243A"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03209639" w14:textId="77777777" w:rsidR="00086DAA" w:rsidRDefault="005541F6">
      <w:pPr>
        <w:ind w:left="-6" w:firstLineChars="2" w:firstLine="5"/>
        <w:jc w:val="left"/>
        <w:rPr>
          <w:rFonts w:asciiTheme="majorEastAsia" w:eastAsiaTheme="majorEastAsia" w:hAnsiTheme="majorEastAsia"/>
          <w:b/>
          <w:sz w:val="26"/>
        </w:rPr>
      </w:pPr>
      <w:r>
        <w:rPr>
          <w:rFonts w:asciiTheme="majorEastAsia" w:eastAsiaTheme="majorEastAsia" w:hAnsiTheme="majorEastAsia"/>
          <w:b/>
          <w:sz w:val="26"/>
        </w:rPr>
        <w:lastRenderedPageBreak/>
        <w:t>３　高齢者のための設備工事</w:t>
      </w:r>
    </w:p>
    <w:p w14:paraId="142FB152"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持ち家に居住する主世帯について、平成</w:t>
      </w:r>
      <w:r>
        <w:rPr>
          <w:rFonts w:asciiTheme="minorEastAsia" w:hAnsiTheme="minorEastAsia" w:hint="eastAsia"/>
          <w:sz w:val="22"/>
        </w:rPr>
        <w:t>26</w:t>
      </w:r>
      <w:r>
        <w:rPr>
          <w:rFonts w:asciiTheme="minorEastAsia" w:hAnsiTheme="minorEastAsia" w:hint="eastAsia"/>
          <w:sz w:val="22"/>
        </w:rPr>
        <w:t>年以降に高齢者などのための設備工事（将来の備えを含む。）を行った世帯は</w:t>
      </w:r>
      <w:r>
        <w:rPr>
          <w:rFonts w:asciiTheme="minorEastAsia" w:hAnsiTheme="minorEastAsia" w:hint="eastAsia"/>
          <w:sz w:val="22"/>
        </w:rPr>
        <w:t>42,900</w:t>
      </w:r>
      <w:r>
        <w:rPr>
          <w:rFonts w:asciiTheme="minorEastAsia" w:hAnsiTheme="minorEastAsia" w:hint="eastAsia"/>
          <w:sz w:val="22"/>
        </w:rPr>
        <w:t>世帯で、持ち家に居住する主世帯全体の</w:t>
      </w:r>
      <w:r>
        <w:rPr>
          <w:rFonts w:asciiTheme="minorEastAsia" w:hAnsiTheme="minorEastAsia" w:hint="eastAsia"/>
          <w:sz w:val="22"/>
        </w:rPr>
        <w:t>14.5</w:t>
      </w:r>
      <w:r>
        <w:rPr>
          <w:rFonts w:asciiTheme="minorEastAsia" w:hAnsiTheme="minorEastAsia" w:hint="eastAsia"/>
          <w:sz w:val="22"/>
        </w:rPr>
        <w:t>％となっている。工事の内訳では、「階段や廊下の手すりの設置」が</w:t>
      </w:r>
      <w:r>
        <w:rPr>
          <w:rFonts w:asciiTheme="minorEastAsia" w:hAnsiTheme="minorEastAsia" w:hint="eastAsia"/>
          <w:sz w:val="22"/>
        </w:rPr>
        <w:t>23,400</w:t>
      </w:r>
      <w:r>
        <w:rPr>
          <w:rFonts w:asciiTheme="minorEastAsia" w:hAnsiTheme="minorEastAsia" w:hint="eastAsia"/>
          <w:sz w:val="22"/>
        </w:rPr>
        <w:t>世帯</w:t>
      </w:r>
      <w:r>
        <w:rPr>
          <w:rFonts w:asciiTheme="minorEastAsia" w:hAnsiTheme="minorEastAsia" w:hint="eastAsia"/>
          <w:sz w:val="22"/>
        </w:rPr>
        <w:t>(7.9</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で最も多く、次いで「トイレの工事」が</w:t>
      </w:r>
      <w:r>
        <w:rPr>
          <w:rFonts w:asciiTheme="minorEastAsia" w:hAnsiTheme="minorEastAsia" w:hint="eastAsia"/>
          <w:sz w:val="22"/>
        </w:rPr>
        <w:t>20,500</w:t>
      </w:r>
      <w:r>
        <w:rPr>
          <w:rFonts w:asciiTheme="minorEastAsia" w:hAnsiTheme="minorEastAsia" w:hint="eastAsia"/>
          <w:sz w:val="22"/>
        </w:rPr>
        <w:t>世帯</w:t>
      </w:r>
      <w:r>
        <w:rPr>
          <w:rFonts w:asciiTheme="minorEastAsia" w:hAnsiTheme="minorEastAsia" w:hint="eastAsia"/>
          <w:sz w:val="22"/>
        </w:rPr>
        <w:t>(6.9</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などとなっている。</w:t>
      </w:r>
    </w:p>
    <w:p w14:paraId="04B25B81" w14:textId="77777777" w:rsidR="00086DAA" w:rsidRDefault="005541F6">
      <w:pPr>
        <w:ind w:left="-6" w:firstLineChars="127" w:firstLine="263"/>
        <w:jc w:val="left"/>
        <w:rPr>
          <w:rFonts w:asciiTheme="minorEastAsia" w:hAnsiTheme="minorEastAsia"/>
          <w:sz w:val="22"/>
        </w:rPr>
      </w:pPr>
      <w:r>
        <w:rPr>
          <w:rFonts w:asciiTheme="minorEastAsia" w:hAnsiTheme="minorEastAsia" w:hint="eastAsia"/>
          <w:sz w:val="22"/>
        </w:rPr>
        <w:t>また、高齢者の有無別に設備工事の状況みると、高齢者のいる世帯では</w:t>
      </w:r>
      <w:r>
        <w:rPr>
          <w:rFonts w:asciiTheme="minorEastAsia" w:hAnsiTheme="minorEastAsia" w:hint="eastAsia"/>
          <w:sz w:val="22"/>
        </w:rPr>
        <w:t>36,800</w:t>
      </w:r>
      <w:r>
        <w:rPr>
          <w:rFonts w:asciiTheme="minorEastAsia" w:hAnsiTheme="minorEastAsia" w:hint="eastAsia"/>
          <w:sz w:val="22"/>
        </w:rPr>
        <w:t>世帯が工事を行い、高齢者のいる世帯全体に占める割合は</w:t>
      </w:r>
      <w:r>
        <w:rPr>
          <w:rFonts w:asciiTheme="minorEastAsia" w:hAnsiTheme="minorEastAsia" w:hint="eastAsia"/>
          <w:sz w:val="22"/>
        </w:rPr>
        <w:t>18.1</w:t>
      </w:r>
      <w:r>
        <w:rPr>
          <w:rFonts w:asciiTheme="minorEastAsia" w:hAnsiTheme="minorEastAsia" w:hint="eastAsia"/>
          <w:sz w:val="22"/>
        </w:rPr>
        <w:t>％となっているが、高齢者のいない世帯で工事を行ったのは</w:t>
      </w:r>
      <w:r>
        <w:rPr>
          <w:rFonts w:asciiTheme="minorEastAsia" w:hAnsiTheme="minorEastAsia" w:hint="eastAsia"/>
          <w:sz w:val="22"/>
        </w:rPr>
        <w:t>5,800</w:t>
      </w:r>
      <w:r>
        <w:rPr>
          <w:rFonts w:asciiTheme="minorEastAsia" w:hAnsiTheme="minorEastAsia" w:hint="eastAsia"/>
          <w:sz w:val="22"/>
        </w:rPr>
        <w:t>世帯で、高齢</w:t>
      </w:r>
      <w:r>
        <w:rPr>
          <w:rFonts w:asciiTheme="minorEastAsia" w:hAnsiTheme="minorEastAsia" w:hint="eastAsia"/>
          <w:sz w:val="22"/>
        </w:rPr>
        <w:t>者のいない世帯全体に占める割合は</w:t>
      </w:r>
      <w:r>
        <w:rPr>
          <w:rFonts w:asciiTheme="minorEastAsia" w:hAnsiTheme="minorEastAsia" w:hint="eastAsia"/>
          <w:sz w:val="22"/>
        </w:rPr>
        <w:t>6.7</w:t>
      </w:r>
      <w:r>
        <w:rPr>
          <w:rFonts w:asciiTheme="minorEastAsia" w:hAnsiTheme="minorEastAsia" w:hint="eastAsia"/>
          <w:sz w:val="22"/>
        </w:rPr>
        <w:t>％に止まっている。</w:t>
      </w:r>
    </w:p>
    <w:p w14:paraId="496D1DA2" w14:textId="767035E4" w:rsidR="00086DAA" w:rsidRDefault="005541F6">
      <w:pPr>
        <w:ind w:left="-6" w:firstLineChars="2" w:firstLine="5"/>
        <w:jc w:val="center"/>
        <w:rPr>
          <w:rFonts w:asciiTheme="minorEastAsia" w:hAnsiTheme="minorEastAsia"/>
          <w:sz w:val="24"/>
        </w:rPr>
      </w:pPr>
      <w:r>
        <w:rPr>
          <w:rFonts w:asciiTheme="minorEastAsia" w:hAnsiTheme="minorEastAsia"/>
          <w:sz w:val="24"/>
        </w:rPr>
        <w:pict w14:anchorId="6FADB7C7">
          <v:shape id="_x0000_i1096" type="#_x0000_t75" style="width:482.4pt;height:3in">
            <v:imagedata r:id="rId83" o:title=""/>
          </v:shape>
        </w:pict>
      </w:r>
    </w:p>
    <w:p w14:paraId="7A16AB69" w14:textId="77777777" w:rsidR="00086DAA" w:rsidRDefault="005541F6">
      <w:pPr>
        <w:ind w:left="-6" w:firstLineChars="2" w:firstLine="4"/>
        <w:jc w:val="left"/>
        <w:rPr>
          <w:rFonts w:asciiTheme="minorEastAsia" w:hAnsiTheme="minorEastAsia"/>
          <w:sz w:val="24"/>
        </w:rPr>
      </w:pPr>
      <w:r>
        <w:rPr>
          <w:noProof/>
        </w:rPr>
        <w:drawing>
          <wp:anchor distT="0" distB="0" distL="114300" distR="114300" simplePos="0" relativeHeight="26" behindDoc="0" locked="0" layoutInCell="1" hidden="0" allowOverlap="1" wp14:anchorId="13E5925A" wp14:editId="6DBFE00E">
            <wp:simplePos x="0" y="0"/>
            <wp:positionH relativeFrom="column">
              <wp:posOffset>447040</wp:posOffset>
            </wp:positionH>
            <wp:positionV relativeFrom="paragraph">
              <wp:posOffset>109855</wp:posOffset>
            </wp:positionV>
            <wp:extent cx="5398770" cy="2698750"/>
            <wp:effectExtent l="0" t="0" r="11430" b="6350"/>
            <wp:wrapSquare wrapText="bothSides"/>
            <wp:docPr id="110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anchor>
        </w:drawing>
      </w:r>
    </w:p>
    <w:p w14:paraId="52BAD9FF" w14:textId="77777777" w:rsidR="00086DAA" w:rsidRDefault="00086DAA">
      <w:pPr>
        <w:ind w:left="-6" w:firstLineChars="2" w:firstLine="5"/>
        <w:jc w:val="left"/>
        <w:rPr>
          <w:rFonts w:asciiTheme="minorEastAsia" w:hAnsiTheme="minorEastAsia"/>
          <w:sz w:val="24"/>
        </w:rPr>
      </w:pPr>
    </w:p>
    <w:p w14:paraId="6549F968" w14:textId="77777777" w:rsidR="00086DAA" w:rsidRDefault="00086DAA">
      <w:pPr>
        <w:ind w:left="-6" w:firstLineChars="2" w:firstLine="5"/>
        <w:jc w:val="left"/>
        <w:rPr>
          <w:rFonts w:asciiTheme="minorEastAsia" w:hAnsiTheme="minorEastAsia"/>
          <w:sz w:val="24"/>
        </w:rPr>
      </w:pPr>
    </w:p>
    <w:p w14:paraId="61F1E897" w14:textId="77777777" w:rsidR="00086DAA" w:rsidRDefault="00086DAA">
      <w:pPr>
        <w:ind w:left="-6" w:firstLineChars="2" w:firstLine="5"/>
        <w:jc w:val="left"/>
        <w:rPr>
          <w:rFonts w:asciiTheme="minorEastAsia" w:hAnsiTheme="minorEastAsia"/>
          <w:sz w:val="24"/>
        </w:rPr>
      </w:pPr>
    </w:p>
    <w:p w14:paraId="1874D295" w14:textId="77777777" w:rsidR="00086DAA" w:rsidRDefault="00086DAA">
      <w:pPr>
        <w:ind w:left="-6" w:firstLineChars="2" w:firstLine="5"/>
        <w:jc w:val="left"/>
        <w:rPr>
          <w:rFonts w:asciiTheme="minorEastAsia" w:hAnsiTheme="minorEastAsia"/>
          <w:sz w:val="24"/>
        </w:rPr>
      </w:pPr>
    </w:p>
    <w:p w14:paraId="54BF5CEB" w14:textId="77777777" w:rsidR="00086DAA" w:rsidRDefault="00086DAA">
      <w:pPr>
        <w:ind w:left="-6" w:firstLineChars="2" w:firstLine="5"/>
        <w:jc w:val="left"/>
        <w:rPr>
          <w:rFonts w:asciiTheme="minorEastAsia" w:hAnsiTheme="minorEastAsia"/>
          <w:sz w:val="24"/>
        </w:rPr>
      </w:pPr>
    </w:p>
    <w:p w14:paraId="4C5C8574" w14:textId="77777777" w:rsidR="00086DAA" w:rsidRDefault="00086DAA">
      <w:pPr>
        <w:ind w:left="-6" w:firstLineChars="2" w:firstLine="5"/>
        <w:jc w:val="left"/>
        <w:rPr>
          <w:rFonts w:asciiTheme="minorEastAsia" w:hAnsiTheme="minorEastAsia"/>
          <w:sz w:val="24"/>
        </w:rPr>
      </w:pPr>
    </w:p>
    <w:p w14:paraId="14788411" w14:textId="77777777" w:rsidR="00086DAA" w:rsidRDefault="00086DAA">
      <w:pPr>
        <w:ind w:left="-6" w:firstLineChars="2" w:firstLine="5"/>
        <w:jc w:val="left"/>
        <w:rPr>
          <w:rFonts w:asciiTheme="minorEastAsia" w:hAnsiTheme="minorEastAsia"/>
          <w:sz w:val="24"/>
        </w:rPr>
      </w:pPr>
    </w:p>
    <w:p w14:paraId="6E6F3A3E" w14:textId="77777777" w:rsidR="00086DAA" w:rsidRDefault="00086DAA">
      <w:pPr>
        <w:ind w:left="-6" w:firstLineChars="2" w:firstLine="5"/>
        <w:jc w:val="left"/>
        <w:rPr>
          <w:rFonts w:asciiTheme="minorEastAsia" w:hAnsiTheme="minorEastAsia"/>
          <w:sz w:val="24"/>
        </w:rPr>
      </w:pPr>
    </w:p>
    <w:p w14:paraId="3C1A53F6" w14:textId="77777777" w:rsidR="00086DAA" w:rsidRDefault="00086DAA">
      <w:pPr>
        <w:ind w:left="-6" w:firstLineChars="2" w:firstLine="5"/>
        <w:jc w:val="left"/>
        <w:rPr>
          <w:rFonts w:asciiTheme="minorEastAsia" w:hAnsiTheme="minorEastAsia"/>
          <w:sz w:val="24"/>
        </w:rPr>
      </w:pPr>
    </w:p>
    <w:p w14:paraId="5913CC86" w14:textId="77777777" w:rsidR="00086DAA" w:rsidRDefault="00086DAA">
      <w:pPr>
        <w:ind w:left="-6" w:firstLineChars="2" w:firstLine="5"/>
        <w:jc w:val="left"/>
        <w:rPr>
          <w:rFonts w:asciiTheme="minorEastAsia" w:hAnsiTheme="minorEastAsia"/>
          <w:sz w:val="24"/>
        </w:rPr>
      </w:pPr>
    </w:p>
    <w:p w14:paraId="679A0772" w14:textId="77777777" w:rsidR="00086DAA" w:rsidRDefault="00086DAA">
      <w:pPr>
        <w:ind w:left="-6" w:firstLineChars="2" w:firstLine="5"/>
        <w:jc w:val="left"/>
        <w:rPr>
          <w:rFonts w:asciiTheme="minorEastAsia" w:hAnsiTheme="minorEastAsia"/>
          <w:sz w:val="24"/>
        </w:rPr>
      </w:pPr>
    </w:p>
    <w:p w14:paraId="1B1C874B" w14:textId="77777777" w:rsidR="00086DAA" w:rsidRDefault="00086DAA">
      <w:pPr>
        <w:ind w:left="-6" w:firstLineChars="2" w:firstLine="5"/>
        <w:jc w:val="left"/>
        <w:rPr>
          <w:rFonts w:asciiTheme="minorEastAsia" w:hAnsiTheme="minorEastAsia"/>
          <w:sz w:val="24"/>
        </w:rPr>
      </w:pPr>
    </w:p>
    <w:p w14:paraId="307F0AC9" w14:textId="77777777" w:rsidR="00086DAA" w:rsidRDefault="005541F6">
      <w:pPr>
        <w:widowControl/>
        <w:jc w:val="left"/>
        <w:rPr>
          <w:rFonts w:asciiTheme="majorEastAsia" w:eastAsiaTheme="majorEastAsia" w:hAnsiTheme="majorEastAsia"/>
          <w:b/>
          <w:sz w:val="26"/>
          <w:shd w:val="pct15" w:color="auto" w:fill="FFFFFF"/>
        </w:rPr>
      </w:pPr>
      <w:r>
        <w:rPr>
          <w:rFonts w:asciiTheme="minorEastAsia" w:hAnsiTheme="minorEastAsia"/>
          <w:sz w:val="24"/>
        </w:rPr>
        <w:br w:type="page"/>
      </w:r>
      <w:r>
        <w:rPr>
          <w:rFonts w:asciiTheme="majorEastAsia" w:eastAsiaTheme="majorEastAsia" w:hAnsiTheme="majorEastAsia"/>
          <w:b/>
          <w:sz w:val="26"/>
        </w:rPr>
        <w:lastRenderedPageBreak/>
        <w:t xml:space="preserve">４　</w:t>
      </w:r>
      <w:r>
        <w:rPr>
          <w:rFonts w:asciiTheme="majorEastAsia" w:eastAsiaTheme="majorEastAsia" w:hAnsiTheme="majorEastAsia" w:hint="eastAsia"/>
          <w:b/>
          <w:sz w:val="26"/>
        </w:rPr>
        <w:t>子の居住地</w:t>
      </w:r>
    </w:p>
    <w:p w14:paraId="14CD7FE3"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持ち家又は借家に居住する高齢単身普通世帯（</w:t>
      </w:r>
      <w:r>
        <w:rPr>
          <w:rFonts w:asciiTheme="minorEastAsia" w:hAnsiTheme="minorEastAsia" w:hint="eastAsia"/>
          <w:sz w:val="22"/>
        </w:rPr>
        <w:t>65</w:t>
      </w:r>
      <w:r>
        <w:rPr>
          <w:rFonts w:asciiTheme="minorEastAsia" w:hAnsiTheme="minorEastAsia" w:hint="eastAsia"/>
          <w:sz w:val="22"/>
        </w:rPr>
        <w:t>歳以上の単身の普通世帯）について子の居住地をみると、「一緒に住んでいる（「同じ建物又は同じ敷地内に住んでいる」を含む。）」は</w:t>
      </w:r>
      <w:r>
        <w:rPr>
          <w:rFonts w:asciiTheme="minorEastAsia" w:hAnsiTheme="minorEastAsia" w:hint="eastAsia"/>
          <w:sz w:val="22"/>
        </w:rPr>
        <w:t>1,300</w:t>
      </w:r>
      <w:r>
        <w:rPr>
          <w:rFonts w:asciiTheme="minorEastAsia" w:hAnsiTheme="minorEastAsia" w:hint="eastAsia"/>
          <w:sz w:val="22"/>
        </w:rPr>
        <w:t>世帯で高齢単身普通世帯全体の</w:t>
      </w:r>
      <w:r>
        <w:rPr>
          <w:rFonts w:asciiTheme="minorEastAsia" w:hAnsiTheme="minorEastAsia" w:hint="eastAsia"/>
          <w:sz w:val="22"/>
        </w:rPr>
        <w:t>2.8</w:t>
      </w:r>
      <w:r>
        <w:rPr>
          <w:rFonts w:asciiTheme="minorEastAsia" w:hAnsiTheme="minorEastAsia" w:hint="eastAsia"/>
          <w:sz w:val="22"/>
        </w:rPr>
        <w:t>％、「片道</w:t>
      </w:r>
      <w:r>
        <w:rPr>
          <w:rFonts w:asciiTheme="minorEastAsia" w:hAnsiTheme="minorEastAsia" w:hint="eastAsia"/>
          <w:sz w:val="22"/>
        </w:rPr>
        <w:t>5</w:t>
      </w:r>
      <w:r>
        <w:rPr>
          <w:rFonts w:asciiTheme="minorEastAsia" w:hAnsiTheme="minorEastAsia" w:hint="eastAsia"/>
          <w:sz w:val="22"/>
        </w:rPr>
        <w:t>分程度の場所」が</w:t>
      </w:r>
      <w:r>
        <w:rPr>
          <w:rFonts w:asciiTheme="minorEastAsia" w:hAnsiTheme="minorEastAsia" w:hint="eastAsia"/>
          <w:sz w:val="22"/>
        </w:rPr>
        <w:t>2,300</w:t>
      </w:r>
      <w:r>
        <w:rPr>
          <w:rFonts w:asciiTheme="minorEastAsia" w:hAnsiTheme="minorEastAsia" w:hint="eastAsia"/>
          <w:sz w:val="22"/>
        </w:rPr>
        <w:t>世帯</w:t>
      </w:r>
      <w:r>
        <w:rPr>
          <w:rFonts w:asciiTheme="minorEastAsia" w:hAnsiTheme="minorEastAsia" w:hint="eastAsia"/>
          <w:sz w:val="22"/>
        </w:rPr>
        <w:t>(4.9</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、「片道</w:t>
      </w:r>
      <w:r>
        <w:rPr>
          <w:rFonts w:asciiTheme="minorEastAsia" w:hAnsiTheme="minorEastAsia" w:hint="eastAsia"/>
          <w:sz w:val="22"/>
        </w:rPr>
        <w:t>15</w:t>
      </w:r>
      <w:r>
        <w:rPr>
          <w:rFonts w:asciiTheme="minorEastAsia" w:hAnsiTheme="minorEastAsia" w:hint="eastAsia"/>
          <w:sz w:val="22"/>
        </w:rPr>
        <w:t>分未満の場所」が</w:t>
      </w:r>
      <w:r>
        <w:rPr>
          <w:rFonts w:asciiTheme="minorEastAsia" w:hAnsiTheme="minorEastAsia" w:hint="eastAsia"/>
          <w:sz w:val="22"/>
        </w:rPr>
        <w:t>5,900</w:t>
      </w:r>
      <w:r>
        <w:rPr>
          <w:rFonts w:asciiTheme="minorEastAsia" w:hAnsiTheme="minorEastAsia" w:hint="eastAsia"/>
          <w:sz w:val="22"/>
        </w:rPr>
        <w:t>世帯</w:t>
      </w:r>
      <w:r>
        <w:rPr>
          <w:rFonts w:asciiTheme="minorEastAsia" w:hAnsiTheme="minorEastAsia" w:hint="eastAsia"/>
          <w:sz w:val="22"/>
        </w:rPr>
        <w:t>(12.6</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1</w:t>
      </w:r>
      <w:r>
        <w:rPr>
          <w:rFonts w:asciiTheme="minorEastAsia" w:hAnsiTheme="minorEastAsia" w:hint="eastAsia"/>
          <w:sz w:val="22"/>
        </w:rPr>
        <w:t>時間未満の場所」が</w:t>
      </w:r>
      <w:r>
        <w:rPr>
          <w:rFonts w:asciiTheme="minorEastAsia" w:hAnsiTheme="minorEastAsia" w:hint="eastAsia"/>
          <w:sz w:val="22"/>
        </w:rPr>
        <w:t>9,900</w:t>
      </w:r>
      <w:r>
        <w:rPr>
          <w:rFonts w:asciiTheme="minorEastAsia" w:hAnsiTheme="minorEastAsia" w:hint="eastAsia"/>
          <w:sz w:val="22"/>
        </w:rPr>
        <w:t>世帯</w:t>
      </w:r>
      <w:r>
        <w:rPr>
          <w:rFonts w:asciiTheme="minorEastAsia" w:hAnsiTheme="minorEastAsia" w:hint="eastAsia"/>
          <w:sz w:val="22"/>
        </w:rPr>
        <w:t>(21.2</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となっている。片道</w:t>
      </w:r>
      <w:r>
        <w:rPr>
          <w:rFonts w:asciiTheme="minorEastAsia" w:hAnsiTheme="minorEastAsia" w:hint="eastAsia"/>
          <w:sz w:val="22"/>
        </w:rPr>
        <w:t>1</w:t>
      </w:r>
      <w:r>
        <w:rPr>
          <w:rFonts w:asciiTheme="minorEastAsia" w:hAnsiTheme="minorEastAsia" w:hint="eastAsia"/>
          <w:sz w:val="22"/>
        </w:rPr>
        <w:t>時間未満の場所に子が居住している高齢単身普通世帯の割合は</w:t>
      </w:r>
      <w:r>
        <w:rPr>
          <w:rFonts w:asciiTheme="minorEastAsia" w:hAnsiTheme="minorEastAsia" w:hint="eastAsia"/>
          <w:sz w:val="22"/>
        </w:rPr>
        <w:t>41.5</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w:t>
      </w:r>
      <w:r>
        <w:rPr>
          <w:rFonts w:asciiTheme="minorEastAsia" w:hAnsiTheme="minorEastAsia" w:hint="eastAsia"/>
          <w:sz w:val="22"/>
        </w:rPr>
        <w:t>(42.7</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に比べ</w:t>
      </w:r>
      <w:r>
        <w:rPr>
          <w:rFonts w:asciiTheme="minorEastAsia" w:hAnsiTheme="minorEastAsia" w:hint="eastAsia"/>
          <w:sz w:val="22"/>
        </w:rPr>
        <w:t>1.2</w:t>
      </w:r>
      <w:r>
        <w:rPr>
          <w:rFonts w:asciiTheme="minorEastAsia" w:hAnsiTheme="minorEastAsia" w:hint="eastAsia"/>
          <w:sz w:val="22"/>
        </w:rPr>
        <w:t>ポイント低</w:t>
      </w:r>
      <w:r>
        <w:rPr>
          <w:rFonts w:asciiTheme="minorEastAsia" w:hAnsiTheme="minorEastAsia" w:hint="eastAsia"/>
          <w:sz w:val="22"/>
        </w:rPr>
        <w:t>下している。</w:t>
      </w:r>
    </w:p>
    <w:p w14:paraId="2AAFEA27"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また、「片道</w:t>
      </w:r>
      <w:r>
        <w:rPr>
          <w:rFonts w:asciiTheme="minorEastAsia" w:hAnsiTheme="minorEastAsia" w:hint="eastAsia"/>
          <w:sz w:val="22"/>
        </w:rPr>
        <w:t>1</w:t>
      </w:r>
      <w:r>
        <w:rPr>
          <w:rFonts w:asciiTheme="minorEastAsia" w:hAnsiTheme="minorEastAsia" w:hint="eastAsia"/>
          <w:sz w:val="22"/>
        </w:rPr>
        <w:t>時間以上の場所」は</w:t>
      </w:r>
      <w:r>
        <w:rPr>
          <w:rFonts w:asciiTheme="minorEastAsia" w:hAnsiTheme="minorEastAsia" w:hint="eastAsia"/>
          <w:sz w:val="22"/>
        </w:rPr>
        <w:t>15,100</w:t>
      </w:r>
      <w:r>
        <w:rPr>
          <w:rFonts w:asciiTheme="minorEastAsia" w:hAnsiTheme="minorEastAsia" w:hint="eastAsia"/>
          <w:sz w:val="22"/>
        </w:rPr>
        <w:t>世帯</w:t>
      </w:r>
      <w:r>
        <w:rPr>
          <w:rFonts w:asciiTheme="minorEastAsia" w:hAnsiTheme="minorEastAsia" w:hint="eastAsia"/>
          <w:sz w:val="22"/>
        </w:rPr>
        <w:t>(32.3</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w:t>
      </w:r>
      <w:r>
        <w:rPr>
          <w:rFonts w:asciiTheme="minorEastAsia" w:hAnsiTheme="minorEastAsia" w:hint="eastAsia"/>
          <w:sz w:val="22"/>
        </w:rPr>
        <w:t>(34.8</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とほぼ変わらず、高齢単身普通世帯全体の３分の１を超える世帯では、片道</w:t>
      </w:r>
      <w:r>
        <w:rPr>
          <w:rFonts w:asciiTheme="minorEastAsia" w:hAnsiTheme="minorEastAsia" w:hint="eastAsia"/>
          <w:sz w:val="22"/>
        </w:rPr>
        <w:t>1</w:t>
      </w:r>
      <w:r>
        <w:rPr>
          <w:rFonts w:asciiTheme="minorEastAsia" w:hAnsiTheme="minorEastAsia" w:hint="eastAsia"/>
          <w:sz w:val="22"/>
        </w:rPr>
        <w:t>時間以上の場所に子が居住している。</w:t>
      </w:r>
    </w:p>
    <w:p w14:paraId="39B6A6F8"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なお、全国における片道</w:t>
      </w:r>
      <w:r>
        <w:rPr>
          <w:rFonts w:asciiTheme="minorEastAsia" w:hAnsiTheme="minorEastAsia" w:hint="eastAsia"/>
          <w:sz w:val="22"/>
        </w:rPr>
        <w:t>1</w:t>
      </w:r>
      <w:r>
        <w:rPr>
          <w:rFonts w:asciiTheme="minorEastAsia" w:hAnsiTheme="minorEastAsia" w:hint="eastAsia"/>
          <w:sz w:val="22"/>
        </w:rPr>
        <w:t>時間以上の場所に子が居住している高齢単身普通世帯の割合は</w:t>
      </w:r>
      <w:r>
        <w:rPr>
          <w:rFonts w:asciiTheme="minorEastAsia" w:hAnsiTheme="minorEastAsia" w:hint="eastAsia"/>
          <w:sz w:val="22"/>
        </w:rPr>
        <w:t>22.9</w:t>
      </w:r>
      <w:r>
        <w:rPr>
          <w:rFonts w:asciiTheme="minorEastAsia" w:hAnsiTheme="minorEastAsia" w:hint="eastAsia"/>
          <w:sz w:val="22"/>
        </w:rPr>
        <w:t>％で秋田県より</w:t>
      </w:r>
      <w:r>
        <w:rPr>
          <w:rFonts w:asciiTheme="minorEastAsia" w:hAnsiTheme="minorEastAsia" w:hint="eastAsia"/>
          <w:sz w:val="22"/>
        </w:rPr>
        <w:t>9.4</w:t>
      </w:r>
      <w:r>
        <w:rPr>
          <w:rFonts w:asciiTheme="minorEastAsia" w:hAnsiTheme="minorEastAsia" w:hint="eastAsia"/>
          <w:sz w:val="22"/>
        </w:rPr>
        <w:t>ポイント低く、本県の高齢単身普通世帯では全国に比べ子の居住地が遠方となっている。</w:t>
      </w:r>
    </w:p>
    <w:p w14:paraId="2F3058E7"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次に、持ち家又は借家に居住する高齢者のいる夫婦のみの普通世帯（家計を主に支える者の年齢が</w:t>
      </w:r>
      <w:r>
        <w:rPr>
          <w:rFonts w:asciiTheme="minorEastAsia" w:hAnsiTheme="minorEastAsia" w:hint="eastAsia"/>
          <w:sz w:val="22"/>
        </w:rPr>
        <w:t>65</w:t>
      </w:r>
      <w:r>
        <w:rPr>
          <w:rFonts w:asciiTheme="minorEastAsia" w:hAnsiTheme="minorEastAsia" w:hint="eastAsia"/>
          <w:sz w:val="22"/>
        </w:rPr>
        <w:t>歳以上の普通世帯、以</w:t>
      </w:r>
      <w:r>
        <w:rPr>
          <w:rFonts w:asciiTheme="minorEastAsia" w:hAnsiTheme="minorEastAsia" w:hint="eastAsia"/>
          <w:sz w:val="22"/>
        </w:rPr>
        <w:t>下「夫婦のみの普通世帯」という。）では、「一緒に住んでいる」は</w:t>
      </w:r>
      <w:r>
        <w:rPr>
          <w:rFonts w:asciiTheme="minorEastAsia" w:hAnsiTheme="minorEastAsia" w:hint="eastAsia"/>
          <w:sz w:val="22"/>
        </w:rPr>
        <w:t>1,200</w:t>
      </w:r>
      <w:r>
        <w:rPr>
          <w:rFonts w:asciiTheme="minorEastAsia" w:hAnsiTheme="minorEastAsia" w:hint="eastAsia"/>
          <w:sz w:val="22"/>
        </w:rPr>
        <w:t>世帯で夫婦のみの普通世帯全体の</w:t>
      </w:r>
      <w:r>
        <w:rPr>
          <w:rFonts w:asciiTheme="minorEastAsia" w:hAnsiTheme="minorEastAsia" w:hint="eastAsia"/>
          <w:sz w:val="22"/>
        </w:rPr>
        <w:t>2.6</w:t>
      </w:r>
      <w:r>
        <w:rPr>
          <w:rFonts w:asciiTheme="minorEastAsia" w:hAnsiTheme="minorEastAsia" w:hint="eastAsia"/>
          <w:sz w:val="22"/>
        </w:rPr>
        <w:t>％、「片道</w:t>
      </w:r>
      <w:r>
        <w:rPr>
          <w:rFonts w:asciiTheme="minorEastAsia" w:hAnsiTheme="minorEastAsia" w:hint="eastAsia"/>
          <w:sz w:val="22"/>
        </w:rPr>
        <w:t>5</w:t>
      </w:r>
      <w:r>
        <w:rPr>
          <w:rFonts w:asciiTheme="minorEastAsia" w:hAnsiTheme="minorEastAsia" w:hint="eastAsia"/>
          <w:sz w:val="22"/>
        </w:rPr>
        <w:t>分程度の場所」が</w:t>
      </w:r>
      <w:r>
        <w:rPr>
          <w:rFonts w:asciiTheme="minorEastAsia" w:hAnsiTheme="minorEastAsia" w:hint="eastAsia"/>
          <w:sz w:val="22"/>
        </w:rPr>
        <w:t>3,200</w:t>
      </w:r>
      <w:r>
        <w:rPr>
          <w:rFonts w:asciiTheme="minorEastAsia" w:hAnsiTheme="minorEastAsia" w:hint="eastAsia"/>
          <w:sz w:val="22"/>
        </w:rPr>
        <w:t>世帯</w:t>
      </w:r>
      <w:r>
        <w:rPr>
          <w:rFonts w:asciiTheme="minorEastAsia" w:hAnsiTheme="minorEastAsia" w:hint="eastAsia"/>
          <w:sz w:val="22"/>
        </w:rPr>
        <w:t>(6.9</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、「片道</w:t>
      </w:r>
      <w:r>
        <w:rPr>
          <w:rFonts w:asciiTheme="minorEastAsia" w:hAnsiTheme="minorEastAsia" w:hint="eastAsia"/>
          <w:sz w:val="22"/>
        </w:rPr>
        <w:t>15</w:t>
      </w:r>
      <w:r>
        <w:rPr>
          <w:rFonts w:asciiTheme="minorEastAsia" w:hAnsiTheme="minorEastAsia" w:hint="eastAsia"/>
          <w:sz w:val="22"/>
        </w:rPr>
        <w:t>分未満の場所」が</w:t>
      </w:r>
      <w:r>
        <w:rPr>
          <w:rFonts w:asciiTheme="minorEastAsia" w:hAnsiTheme="minorEastAsia" w:hint="eastAsia"/>
          <w:sz w:val="22"/>
        </w:rPr>
        <w:t>6,800</w:t>
      </w:r>
      <w:r>
        <w:rPr>
          <w:rFonts w:asciiTheme="minorEastAsia" w:hAnsiTheme="minorEastAsia" w:hint="eastAsia"/>
          <w:sz w:val="22"/>
        </w:rPr>
        <w:t>世帯</w:t>
      </w:r>
      <w:r>
        <w:rPr>
          <w:rFonts w:asciiTheme="minorEastAsia" w:hAnsiTheme="minorEastAsia" w:hint="eastAsia"/>
          <w:sz w:val="22"/>
        </w:rPr>
        <w:t>(14.6</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、「片道</w:t>
      </w:r>
      <w:r>
        <w:rPr>
          <w:rFonts w:asciiTheme="minorEastAsia" w:hAnsiTheme="minorEastAsia" w:hint="eastAsia"/>
          <w:sz w:val="22"/>
        </w:rPr>
        <w:t>1</w:t>
      </w:r>
      <w:r>
        <w:rPr>
          <w:rFonts w:asciiTheme="minorEastAsia" w:hAnsiTheme="minorEastAsia" w:hint="eastAsia"/>
          <w:sz w:val="22"/>
        </w:rPr>
        <w:t>時間未満の場所」が</w:t>
      </w:r>
      <w:r>
        <w:rPr>
          <w:rFonts w:asciiTheme="minorEastAsia" w:hAnsiTheme="minorEastAsia" w:hint="eastAsia"/>
          <w:sz w:val="22"/>
        </w:rPr>
        <w:t>12,500</w:t>
      </w:r>
      <w:r>
        <w:rPr>
          <w:rFonts w:asciiTheme="minorEastAsia" w:hAnsiTheme="minorEastAsia" w:hint="eastAsia"/>
          <w:sz w:val="22"/>
        </w:rPr>
        <w:t>世帯</w:t>
      </w:r>
      <w:r>
        <w:rPr>
          <w:rFonts w:asciiTheme="minorEastAsia" w:hAnsiTheme="minorEastAsia" w:hint="eastAsia"/>
          <w:sz w:val="22"/>
        </w:rPr>
        <w:t>(26.8</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となっている。片道</w:t>
      </w:r>
      <w:r>
        <w:rPr>
          <w:rFonts w:asciiTheme="minorEastAsia" w:hAnsiTheme="minorEastAsia" w:hint="eastAsia"/>
          <w:sz w:val="22"/>
        </w:rPr>
        <w:t>1</w:t>
      </w:r>
      <w:r>
        <w:rPr>
          <w:rFonts w:asciiTheme="minorEastAsia" w:hAnsiTheme="minorEastAsia" w:hint="eastAsia"/>
          <w:sz w:val="22"/>
        </w:rPr>
        <w:t>時間未満の場所に子が居住している夫婦のみの普通世帯の割合は</w:t>
      </w:r>
      <w:r>
        <w:rPr>
          <w:rFonts w:asciiTheme="minorEastAsia" w:hAnsiTheme="minorEastAsia" w:hint="eastAsia"/>
          <w:sz w:val="22"/>
        </w:rPr>
        <w:t>50.9</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w:t>
      </w:r>
      <w:r>
        <w:rPr>
          <w:rFonts w:asciiTheme="minorEastAsia" w:hAnsiTheme="minorEastAsia" w:hint="eastAsia"/>
          <w:sz w:val="22"/>
        </w:rPr>
        <w:t>(49.0</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に比べ</w:t>
      </w:r>
      <w:r>
        <w:rPr>
          <w:rFonts w:asciiTheme="minorEastAsia" w:hAnsiTheme="minorEastAsia" w:hint="eastAsia"/>
          <w:sz w:val="22"/>
        </w:rPr>
        <w:t>1.9</w:t>
      </w:r>
      <w:r>
        <w:rPr>
          <w:rFonts w:asciiTheme="minorEastAsia" w:hAnsiTheme="minorEastAsia" w:hint="eastAsia"/>
          <w:sz w:val="22"/>
        </w:rPr>
        <w:t>ポイント上昇している。</w:t>
      </w:r>
    </w:p>
    <w:p w14:paraId="6CCF6377"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また、「片道</w:t>
      </w:r>
      <w:r>
        <w:rPr>
          <w:rFonts w:asciiTheme="minorEastAsia" w:hAnsiTheme="minorEastAsia" w:hint="eastAsia"/>
          <w:sz w:val="22"/>
        </w:rPr>
        <w:t>1</w:t>
      </w:r>
      <w:r>
        <w:rPr>
          <w:rFonts w:asciiTheme="minorEastAsia" w:hAnsiTheme="minorEastAsia" w:hint="eastAsia"/>
          <w:sz w:val="22"/>
        </w:rPr>
        <w:t>時間以上の場所」は</w:t>
      </w:r>
      <w:r>
        <w:rPr>
          <w:rFonts w:asciiTheme="minorEastAsia" w:hAnsiTheme="minorEastAsia" w:hint="eastAsia"/>
          <w:sz w:val="22"/>
        </w:rPr>
        <w:t>17,800</w:t>
      </w:r>
      <w:r>
        <w:rPr>
          <w:rFonts w:asciiTheme="minorEastAsia" w:hAnsiTheme="minorEastAsia" w:hint="eastAsia"/>
          <w:sz w:val="22"/>
        </w:rPr>
        <w:t>世帯</w:t>
      </w:r>
      <w:r>
        <w:rPr>
          <w:rFonts w:asciiTheme="minorEastAsia" w:hAnsiTheme="minorEastAsia" w:hint="eastAsia"/>
          <w:sz w:val="22"/>
        </w:rPr>
        <w:t>(38.2</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w:t>
      </w:r>
      <w:r>
        <w:rPr>
          <w:rFonts w:asciiTheme="minorEastAsia" w:hAnsiTheme="minorEastAsia" w:hint="eastAsia"/>
          <w:sz w:val="22"/>
        </w:rPr>
        <w:t>(39.</w:t>
      </w:r>
      <w:r>
        <w:rPr>
          <w:rFonts w:asciiTheme="minorEastAsia" w:hAnsiTheme="minorEastAsia" w:hint="eastAsia"/>
          <w:sz w:val="22"/>
        </w:rPr>
        <w:t>4</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に比べ</w:t>
      </w:r>
      <w:r>
        <w:rPr>
          <w:rFonts w:asciiTheme="minorEastAsia" w:hAnsiTheme="minorEastAsia" w:hint="eastAsia"/>
          <w:sz w:val="22"/>
        </w:rPr>
        <w:t>1.2</w:t>
      </w:r>
      <w:r>
        <w:rPr>
          <w:rFonts w:asciiTheme="minorEastAsia" w:hAnsiTheme="minorEastAsia" w:hint="eastAsia"/>
          <w:sz w:val="22"/>
        </w:rPr>
        <w:t>ポイント低下しているが、</w:t>
      </w:r>
      <w:r>
        <w:rPr>
          <w:rFonts w:asciiTheme="minorEastAsia" w:hAnsiTheme="minorEastAsia" w:hint="eastAsia"/>
          <w:sz w:val="22"/>
        </w:rPr>
        <w:t>4</w:t>
      </w:r>
      <w:r>
        <w:rPr>
          <w:rFonts w:asciiTheme="minorEastAsia" w:hAnsiTheme="minorEastAsia" w:hint="eastAsia"/>
          <w:sz w:val="22"/>
        </w:rPr>
        <w:t>割近い世帯で子の居住地が片道</w:t>
      </w:r>
      <w:r>
        <w:rPr>
          <w:rFonts w:asciiTheme="minorEastAsia" w:hAnsiTheme="minorEastAsia" w:hint="eastAsia"/>
          <w:sz w:val="22"/>
        </w:rPr>
        <w:t>1</w:t>
      </w:r>
      <w:r>
        <w:rPr>
          <w:rFonts w:asciiTheme="minorEastAsia" w:hAnsiTheme="minorEastAsia" w:hint="eastAsia"/>
          <w:sz w:val="22"/>
        </w:rPr>
        <w:t>時間以上となっている。</w:t>
      </w:r>
    </w:p>
    <w:p w14:paraId="6B27CC5B"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なお、全国における片道</w:t>
      </w:r>
      <w:r>
        <w:rPr>
          <w:rFonts w:asciiTheme="minorEastAsia" w:hAnsiTheme="minorEastAsia" w:hint="eastAsia"/>
          <w:sz w:val="22"/>
        </w:rPr>
        <w:t>1</w:t>
      </w:r>
      <w:r>
        <w:rPr>
          <w:rFonts w:asciiTheme="minorEastAsia" w:hAnsiTheme="minorEastAsia" w:hint="eastAsia"/>
          <w:sz w:val="22"/>
        </w:rPr>
        <w:t>時間以上の場所に子が居住している夫婦のみの普通世帯の割合は</w:t>
      </w:r>
      <w:r>
        <w:rPr>
          <w:rFonts w:asciiTheme="minorEastAsia" w:hAnsiTheme="minorEastAsia" w:hint="eastAsia"/>
          <w:sz w:val="22"/>
        </w:rPr>
        <w:t>28.5</w:t>
      </w:r>
      <w:r>
        <w:rPr>
          <w:rFonts w:asciiTheme="minorEastAsia" w:hAnsiTheme="minorEastAsia" w:hint="eastAsia"/>
          <w:sz w:val="22"/>
        </w:rPr>
        <w:t>％で秋田県より</w:t>
      </w:r>
      <w:r>
        <w:rPr>
          <w:rFonts w:asciiTheme="minorEastAsia" w:hAnsiTheme="minorEastAsia" w:hint="eastAsia"/>
          <w:sz w:val="22"/>
        </w:rPr>
        <w:t>9.7</w:t>
      </w:r>
      <w:r>
        <w:rPr>
          <w:rFonts w:asciiTheme="minorEastAsia" w:hAnsiTheme="minorEastAsia" w:hint="eastAsia"/>
          <w:sz w:val="22"/>
        </w:rPr>
        <w:t>ポイント低く、本県の夫婦のみの世帯においても子の居住地は全国に比べ遠方となっている。</w:t>
      </w:r>
    </w:p>
    <w:p w14:paraId="70D7B046" w14:textId="2B191390" w:rsidR="00086DAA" w:rsidRDefault="005541F6">
      <w:pPr>
        <w:widowControl/>
        <w:jc w:val="center"/>
        <w:rPr>
          <w:rFonts w:asciiTheme="minorEastAsia" w:hAnsiTheme="minorEastAsia"/>
          <w:sz w:val="24"/>
        </w:rPr>
      </w:pPr>
      <w:r>
        <w:rPr>
          <w:rFonts w:asciiTheme="minorEastAsia" w:hAnsiTheme="minorEastAsia"/>
          <w:sz w:val="24"/>
        </w:rPr>
        <w:pict w14:anchorId="272E0240">
          <v:shape id="_x0000_i1094" type="#_x0000_t75" style="width:403.2pt;height:345.6pt">
            <v:imagedata r:id="rId85" o:title=""/>
          </v:shape>
        </w:pict>
      </w:r>
    </w:p>
    <w:p w14:paraId="1D9258F4" w14:textId="77777777" w:rsidR="00086DAA" w:rsidRDefault="005541F6">
      <w:pPr>
        <w:widowControl/>
        <w:jc w:val="center"/>
        <w:rPr>
          <w:rFonts w:asciiTheme="minorEastAsia" w:hAnsiTheme="minorEastAsia"/>
          <w:sz w:val="24"/>
        </w:rPr>
      </w:pPr>
      <w:r>
        <w:rPr>
          <w:noProof/>
        </w:rPr>
        <w:lastRenderedPageBreak/>
        <w:drawing>
          <wp:inline distT="0" distB="0" distL="0" distR="0" wp14:anchorId="5373D287" wp14:editId="1FC9EF38">
            <wp:extent cx="5168900" cy="2159635"/>
            <wp:effectExtent l="0" t="0" r="12700" b="12065"/>
            <wp:docPr id="1108"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26B554C" w14:textId="77777777" w:rsidR="00086DAA" w:rsidRDefault="005541F6">
      <w:pPr>
        <w:widowControl/>
        <w:jc w:val="center"/>
        <w:rPr>
          <w:rFonts w:asciiTheme="minorEastAsia" w:hAnsiTheme="minorEastAsia"/>
          <w:sz w:val="24"/>
        </w:rPr>
      </w:pPr>
      <w:r>
        <w:rPr>
          <w:noProof/>
        </w:rPr>
        <w:drawing>
          <wp:inline distT="0" distB="0" distL="0" distR="0" wp14:anchorId="1580D1A3" wp14:editId="73BD183A">
            <wp:extent cx="5169535" cy="2159635"/>
            <wp:effectExtent l="0" t="0" r="12065" b="12065"/>
            <wp:docPr id="1109"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AB3F11E" w14:textId="77777777" w:rsidR="00086DAA" w:rsidRDefault="005541F6">
      <w:pPr>
        <w:widowControl/>
        <w:jc w:val="center"/>
        <w:rPr>
          <w:rFonts w:asciiTheme="minorEastAsia" w:hAnsiTheme="minorEastAsia"/>
          <w:sz w:val="24"/>
        </w:rPr>
      </w:pPr>
      <w:r>
        <w:rPr>
          <w:noProof/>
        </w:rPr>
        <w:drawing>
          <wp:inline distT="0" distB="0" distL="0" distR="0" wp14:anchorId="68FFAC80" wp14:editId="0C8B32E3">
            <wp:extent cx="5167630" cy="2159635"/>
            <wp:effectExtent l="0" t="0" r="13970" b="12065"/>
            <wp:docPr id="111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435E1B1" w14:textId="77777777" w:rsidR="00086DAA" w:rsidRDefault="005541F6">
      <w:pPr>
        <w:widowControl/>
        <w:jc w:val="center"/>
        <w:rPr>
          <w:rFonts w:asciiTheme="minorEastAsia" w:hAnsiTheme="minorEastAsia"/>
          <w:sz w:val="24"/>
        </w:rPr>
      </w:pPr>
      <w:r>
        <w:rPr>
          <w:noProof/>
        </w:rPr>
        <w:drawing>
          <wp:inline distT="0" distB="0" distL="0" distR="0" wp14:anchorId="41A6213D" wp14:editId="561485E2">
            <wp:extent cx="5169535" cy="2159635"/>
            <wp:effectExtent l="0" t="0" r="12065" b="12065"/>
            <wp:docPr id="111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2201C51" w14:textId="77777777" w:rsidR="00086DAA" w:rsidRDefault="00086DAA">
      <w:pPr>
        <w:widowControl/>
        <w:jc w:val="center"/>
        <w:rPr>
          <w:rFonts w:asciiTheme="minorEastAsia" w:hAnsiTheme="minorEastAsia"/>
          <w:sz w:val="24"/>
        </w:rPr>
      </w:pPr>
    </w:p>
    <w:p w14:paraId="64EB212C" w14:textId="77777777" w:rsidR="00086DAA" w:rsidRDefault="005541F6">
      <w:pPr>
        <w:widowControl/>
        <w:jc w:val="left"/>
        <w:rPr>
          <w:rFonts w:ascii="ＭＳ ゴシック" w:eastAsia="ＭＳ ゴシック" w:hAnsi="ＭＳ ゴシック"/>
          <w:b/>
          <w:sz w:val="28"/>
        </w:rPr>
      </w:pPr>
      <w:r>
        <w:rPr>
          <w:rFonts w:ascii="ＭＳ ゴシック" w:eastAsia="ＭＳ ゴシック" w:hAnsi="ＭＳ ゴシック" w:hint="eastAsia"/>
          <w:b/>
          <w:sz w:val="28"/>
        </w:rPr>
        <w:lastRenderedPageBreak/>
        <w:t>Ⅳ　住宅・土地の所有の概況</w:t>
      </w:r>
    </w:p>
    <w:p w14:paraId="2B647558" w14:textId="77777777" w:rsidR="00086DAA" w:rsidRDefault="005541F6">
      <w:pPr>
        <w:widowControl/>
        <w:ind w:firstLineChars="124" w:firstLine="258"/>
        <w:jc w:val="left"/>
        <w:rPr>
          <w:rFonts w:ascii="ＭＳ ゴシック" w:eastAsia="ＭＳ ゴシック" w:hAnsi="ＭＳ ゴシック"/>
          <w:b/>
          <w:sz w:val="22"/>
        </w:rPr>
      </w:pPr>
      <w:r>
        <w:rPr>
          <w:rFonts w:ascii="ＭＳ ゴシック" w:eastAsia="ＭＳ ゴシック" w:hAnsi="ＭＳ ゴシック" w:hint="eastAsia"/>
          <w:b/>
          <w:sz w:val="22"/>
        </w:rPr>
        <w:t>ここでは世帯が所有する住宅と土地の概況をみることにする。</w:t>
      </w:r>
    </w:p>
    <w:p w14:paraId="47F67B13" w14:textId="77777777" w:rsidR="00086DAA" w:rsidRDefault="005541F6">
      <w:pPr>
        <w:widowControl/>
        <w:ind w:firstLineChars="124" w:firstLine="258"/>
        <w:jc w:val="left"/>
        <w:rPr>
          <w:rFonts w:ascii="ＭＳ ゴシック" w:eastAsia="ＭＳ ゴシック" w:hAnsi="ＭＳ ゴシック"/>
          <w:b/>
          <w:sz w:val="22"/>
        </w:rPr>
      </w:pPr>
      <w:r>
        <w:rPr>
          <w:rFonts w:ascii="ＭＳ ゴシック" w:eastAsia="ＭＳ ゴシック" w:hAnsi="ＭＳ ゴシック" w:hint="eastAsia"/>
          <w:b/>
          <w:sz w:val="22"/>
        </w:rPr>
        <w:t>なお、この「Ⅳ　住宅・土地所有の概況」では、調査票乙のみを用いて集計している。また、世帯が住宅又は土地を所有しているとは、世帯員（世帯主を含む。）が住宅又は土地の所有名義人となっている場合をいう。</w:t>
      </w:r>
    </w:p>
    <w:p w14:paraId="55DC5407" w14:textId="77777777" w:rsidR="00086DAA" w:rsidRDefault="005541F6">
      <w:pPr>
        <w:widowControl/>
        <w:jc w:val="left"/>
        <w:rPr>
          <w:rFonts w:ascii="ＭＳ ゴシック" w:eastAsia="ＭＳ ゴシック" w:hAnsi="ＭＳ ゴシック"/>
          <w:b/>
          <w:sz w:val="26"/>
        </w:rPr>
      </w:pPr>
      <w:r>
        <w:rPr>
          <w:rFonts w:ascii="ＭＳ ゴシック" w:eastAsia="ＭＳ ゴシック" w:hAnsi="ＭＳ ゴシック" w:hint="eastAsia"/>
          <w:b/>
          <w:sz w:val="26"/>
        </w:rPr>
        <w:t>１　住宅・土地の所有状況</w:t>
      </w:r>
    </w:p>
    <w:p w14:paraId="00907F5E" w14:textId="77777777" w:rsidR="00086DAA" w:rsidRDefault="005541F6">
      <w:pPr>
        <w:widowControl/>
        <w:ind w:firstLineChars="124" w:firstLine="257"/>
        <w:jc w:val="left"/>
        <w:rPr>
          <w:rFonts w:asciiTheme="minorEastAsia" w:hAnsiTheme="minorEastAsia"/>
          <w:sz w:val="22"/>
        </w:rPr>
      </w:pPr>
      <w:r>
        <w:rPr>
          <w:rFonts w:asciiTheme="minorEastAsia" w:hAnsiTheme="minorEastAsia" w:hint="eastAsia"/>
          <w:sz w:val="22"/>
        </w:rPr>
        <w:t>平成</w:t>
      </w:r>
      <w:r>
        <w:rPr>
          <w:rFonts w:asciiTheme="minorEastAsia" w:hAnsiTheme="minorEastAsia" w:hint="eastAsia"/>
          <w:sz w:val="22"/>
        </w:rPr>
        <w:t>30</w:t>
      </w:r>
      <w:r>
        <w:rPr>
          <w:rFonts w:asciiTheme="minorEastAsia" w:hAnsiTheme="minorEastAsia" w:hint="eastAsia"/>
          <w:sz w:val="22"/>
        </w:rPr>
        <w:t>年の世帯における住宅と土地の所有状況についてみると、住宅を所有している世帯</w:t>
      </w:r>
      <w:r>
        <w:rPr>
          <w:rFonts w:asciiTheme="minorEastAsia" w:hAnsiTheme="minorEastAsia" w:hint="eastAsia"/>
          <w:sz w:val="22"/>
        </w:rPr>
        <w:t>(</w:t>
      </w:r>
      <w:r>
        <w:rPr>
          <w:rFonts w:asciiTheme="minorEastAsia" w:hAnsiTheme="minorEastAsia" w:hint="eastAsia"/>
          <w:sz w:val="22"/>
        </w:rPr>
        <w:t>注１</w:t>
      </w:r>
      <w:r>
        <w:rPr>
          <w:rFonts w:asciiTheme="minorEastAsia" w:hAnsiTheme="minorEastAsia" w:hint="eastAsia"/>
          <w:sz w:val="22"/>
        </w:rPr>
        <w:t>)</w:t>
      </w:r>
      <w:r>
        <w:rPr>
          <w:rFonts w:asciiTheme="minorEastAsia" w:hAnsiTheme="minorEastAsia" w:hint="eastAsia"/>
          <w:sz w:val="22"/>
        </w:rPr>
        <w:t>は</w:t>
      </w:r>
      <w:r>
        <w:rPr>
          <w:rFonts w:asciiTheme="minorEastAsia" w:hAnsiTheme="minorEastAsia" w:hint="eastAsia"/>
          <w:sz w:val="22"/>
        </w:rPr>
        <w:t>269</w:t>
      </w:r>
      <w:r>
        <w:rPr>
          <w:rFonts w:asciiTheme="minorEastAsia" w:hAnsiTheme="minorEastAsia" w:hint="eastAsia"/>
          <w:sz w:val="22"/>
        </w:rPr>
        <w:t>千世帯、普通世帯全体</w:t>
      </w:r>
      <w:r>
        <w:rPr>
          <w:rFonts w:asciiTheme="minorEastAsia" w:hAnsiTheme="minorEastAsia" w:hint="eastAsia"/>
          <w:sz w:val="22"/>
        </w:rPr>
        <w:t>(380</w:t>
      </w:r>
      <w:r>
        <w:rPr>
          <w:rFonts w:asciiTheme="minorEastAsia" w:hAnsiTheme="minorEastAsia" w:hint="eastAsia"/>
          <w:sz w:val="22"/>
        </w:rPr>
        <w:t>千世帯</w:t>
      </w:r>
      <w:r>
        <w:rPr>
          <w:rFonts w:asciiTheme="minorEastAsia" w:hAnsiTheme="minorEastAsia" w:hint="eastAsia"/>
          <w:sz w:val="22"/>
        </w:rPr>
        <w:t>)</w:t>
      </w:r>
      <w:r>
        <w:rPr>
          <w:rFonts w:asciiTheme="minorEastAsia" w:hAnsiTheme="minorEastAsia" w:hint="eastAsia"/>
          <w:sz w:val="22"/>
        </w:rPr>
        <w:t>の</w:t>
      </w:r>
      <w:r>
        <w:rPr>
          <w:rFonts w:asciiTheme="minorEastAsia" w:hAnsiTheme="minorEastAsia" w:hint="eastAsia"/>
          <w:sz w:val="22"/>
        </w:rPr>
        <w:t>70.8</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1.0</w:t>
      </w:r>
      <w:r>
        <w:rPr>
          <w:rFonts w:asciiTheme="minorEastAsia" w:hAnsiTheme="minorEastAsia" w:hint="eastAsia"/>
          <w:sz w:val="22"/>
        </w:rPr>
        <w:t>ポイント減少した。また、土地を所有している世帯</w:t>
      </w:r>
      <w:r>
        <w:rPr>
          <w:rFonts w:asciiTheme="minorEastAsia" w:hAnsiTheme="minorEastAsia" w:hint="eastAsia"/>
          <w:sz w:val="22"/>
        </w:rPr>
        <w:t>(</w:t>
      </w:r>
      <w:r>
        <w:rPr>
          <w:rFonts w:asciiTheme="minorEastAsia" w:hAnsiTheme="minorEastAsia" w:hint="eastAsia"/>
          <w:sz w:val="22"/>
        </w:rPr>
        <w:t>注２</w:t>
      </w:r>
      <w:r>
        <w:rPr>
          <w:rFonts w:asciiTheme="minorEastAsia" w:hAnsiTheme="minorEastAsia" w:hint="eastAsia"/>
          <w:sz w:val="22"/>
        </w:rPr>
        <w:t>)</w:t>
      </w:r>
      <w:r>
        <w:rPr>
          <w:rFonts w:asciiTheme="minorEastAsia" w:hAnsiTheme="minorEastAsia" w:hint="eastAsia"/>
          <w:sz w:val="22"/>
        </w:rPr>
        <w:t>は</w:t>
      </w:r>
      <w:r>
        <w:rPr>
          <w:rFonts w:asciiTheme="minorEastAsia" w:hAnsiTheme="minorEastAsia" w:hint="eastAsia"/>
          <w:sz w:val="22"/>
        </w:rPr>
        <w:t>267</w:t>
      </w:r>
      <w:r>
        <w:rPr>
          <w:rFonts w:asciiTheme="minorEastAsia" w:hAnsiTheme="minorEastAsia" w:hint="eastAsia"/>
          <w:sz w:val="22"/>
        </w:rPr>
        <w:t>千世帯、普通世帯全体の</w:t>
      </w:r>
      <w:r>
        <w:rPr>
          <w:rFonts w:asciiTheme="minorEastAsia" w:hAnsiTheme="minorEastAsia" w:hint="eastAsia"/>
          <w:sz w:val="22"/>
        </w:rPr>
        <w:t>70.3</w:t>
      </w:r>
      <w:r>
        <w:rPr>
          <w:rFonts w:asciiTheme="minorEastAsia" w:hAnsiTheme="minorEastAsia" w:hint="eastAsia"/>
          <w:sz w:val="22"/>
        </w:rPr>
        <w:t>％で</w:t>
      </w:r>
      <w:r>
        <w:rPr>
          <w:rFonts w:asciiTheme="minorEastAsia" w:hAnsiTheme="minorEastAsia" w:hint="eastAsia"/>
          <w:sz w:val="22"/>
        </w:rPr>
        <w:t>0.8</w:t>
      </w:r>
      <w:r>
        <w:rPr>
          <w:rFonts w:asciiTheme="minorEastAsia" w:hAnsiTheme="minorEastAsia" w:hint="eastAsia"/>
          <w:sz w:val="22"/>
        </w:rPr>
        <w:t>ポイント減少した。一方、住宅と土地のいずれも所有していない世帯は</w:t>
      </w:r>
      <w:r>
        <w:rPr>
          <w:rFonts w:asciiTheme="minorEastAsia" w:hAnsiTheme="minorEastAsia" w:hint="eastAsia"/>
          <w:sz w:val="22"/>
        </w:rPr>
        <w:t>83</w:t>
      </w:r>
      <w:r>
        <w:rPr>
          <w:rFonts w:asciiTheme="minorEastAsia" w:hAnsiTheme="minorEastAsia" w:hint="eastAsia"/>
          <w:sz w:val="22"/>
        </w:rPr>
        <w:t>千世帯、普通世帯全体の</w:t>
      </w:r>
      <w:r>
        <w:rPr>
          <w:rFonts w:asciiTheme="minorEastAsia" w:hAnsiTheme="minorEastAsia" w:hint="eastAsia"/>
          <w:sz w:val="22"/>
        </w:rPr>
        <w:t>21.8</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年と同率であった。</w:t>
      </w:r>
    </w:p>
    <w:p w14:paraId="4272DF10" w14:textId="77777777" w:rsidR="00086DAA" w:rsidRDefault="005541F6">
      <w:pPr>
        <w:widowControl/>
        <w:ind w:firstLineChars="124" w:firstLine="257"/>
        <w:jc w:val="left"/>
        <w:rPr>
          <w:rFonts w:asciiTheme="minorEastAsia" w:hAnsiTheme="minorEastAsia"/>
          <w:sz w:val="22"/>
        </w:rPr>
      </w:pPr>
      <w:r>
        <w:rPr>
          <w:rFonts w:asciiTheme="minorEastAsia" w:hAnsiTheme="minorEastAsia" w:hint="eastAsia"/>
          <w:sz w:val="22"/>
        </w:rPr>
        <w:t>住宅を所有している世帯のうち、現住居を所有している世帯は</w:t>
      </w:r>
      <w:r>
        <w:rPr>
          <w:rFonts w:asciiTheme="minorEastAsia" w:hAnsiTheme="minorEastAsia" w:hint="eastAsia"/>
          <w:sz w:val="22"/>
        </w:rPr>
        <w:t>265</w:t>
      </w:r>
      <w:r>
        <w:rPr>
          <w:rFonts w:asciiTheme="minorEastAsia" w:hAnsiTheme="minorEastAsia" w:hint="eastAsia"/>
          <w:sz w:val="22"/>
        </w:rPr>
        <w:t>千世帯、普通世帯全体の</w:t>
      </w:r>
      <w:r>
        <w:rPr>
          <w:rFonts w:asciiTheme="minorEastAsia" w:hAnsiTheme="minorEastAsia" w:hint="eastAsia"/>
          <w:sz w:val="22"/>
        </w:rPr>
        <w:t>69.7</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1.4</w:t>
      </w:r>
      <w:r>
        <w:rPr>
          <w:rFonts w:asciiTheme="minorEastAsia" w:hAnsiTheme="minorEastAsia" w:hint="eastAsia"/>
          <w:sz w:val="22"/>
        </w:rPr>
        <w:t>ポイント減少した。</w:t>
      </w:r>
    </w:p>
    <w:p w14:paraId="4BE43F35" w14:textId="77777777" w:rsidR="00086DAA" w:rsidRDefault="005541F6">
      <w:pPr>
        <w:widowControl/>
        <w:ind w:firstLineChars="124" w:firstLine="245"/>
        <w:jc w:val="left"/>
        <w:rPr>
          <w:rFonts w:asciiTheme="minorEastAsia" w:hAnsiTheme="minorEastAsia"/>
          <w:sz w:val="22"/>
        </w:rPr>
      </w:pPr>
      <w:r>
        <w:rPr>
          <w:noProof/>
        </w:rPr>
        <mc:AlternateContent>
          <mc:Choice Requires="wps">
            <w:drawing>
              <wp:anchor distT="0" distB="0" distL="114300" distR="114300" simplePos="0" relativeHeight="35" behindDoc="0" locked="0" layoutInCell="1" hidden="0" allowOverlap="1" wp14:anchorId="0515517D" wp14:editId="1DE3DA17">
                <wp:simplePos x="0" y="0"/>
                <wp:positionH relativeFrom="column">
                  <wp:posOffset>226695</wp:posOffset>
                </wp:positionH>
                <wp:positionV relativeFrom="paragraph">
                  <wp:posOffset>647700</wp:posOffset>
                </wp:positionV>
                <wp:extent cx="5760085" cy="459740"/>
                <wp:effectExtent l="635" t="635" r="29845" b="10795"/>
                <wp:wrapSquare wrapText="bothSides"/>
                <wp:docPr id="1112" name="テキスト ボックス 10"/>
                <wp:cNvGraphicFramePr/>
                <a:graphic xmlns:a="http://schemas.openxmlformats.org/drawingml/2006/main">
                  <a:graphicData uri="http://schemas.microsoft.com/office/word/2010/wordprocessingShape">
                    <wps:wsp>
                      <wps:cNvSpPr txBox="1"/>
                      <wps:spPr>
                        <a:xfrm>
                          <a:off x="0" y="0"/>
                          <a:ext cx="5760085" cy="459740"/>
                        </a:xfrm>
                        <a:prstGeom prst="rect">
                          <a:avLst/>
                        </a:prstGeom>
                        <a:solidFill>
                          <a:sysClr val="window" lastClr="FFFFFF"/>
                        </a:solidFill>
                        <a:ln w="9525" cmpd="sng">
                          <a:solidFill>
                            <a:sysClr val="windowText" lastClr="000000"/>
                          </a:solidFill>
                          <a:prstDash val="sysDash"/>
                        </a:ln>
                        <a:effectLst/>
                      </wps:spPr>
                      <wps:txbx>
                        <w:txbxContent>
                          <w:p w14:paraId="3AA28166" w14:textId="77777777" w:rsidR="00086DAA" w:rsidRDefault="005541F6">
                            <w:pPr>
                              <w:rPr>
                                <w:kern w:val="0"/>
                                <w:sz w:val="22"/>
                              </w:rPr>
                            </w:pPr>
                            <w:r>
                              <w:rPr>
                                <w:rFonts w:ascii="ＭＳ 明朝" w:eastAsia="ＭＳ 明朝" w:hAnsi="ＭＳ 明朝" w:hint="eastAsia"/>
                                <w:color w:val="000000"/>
                                <w:sz w:val="16"/>
                              </w:rPr>
                              <w:t>（</w:t>
                            </w:r>
                            <w:r>
                              <w:rPr>
                                <w:rFonts w:ascii="ＭＳ 明朝" w:eastAsia="ＭＳ 明朝" w:hAnsi="ＭＳ 明朝" w:hint="eastAsia"/>
                                <w:color w:val="000000"/>
                                <w:sz w:val="16"/>
                              </w:rPr>
                              <w:t>注１）現住居を所有している世帯又は現住居以外の住宅を所有している世帯</w:t>
                            </w:r>
                          </w:p>
                          <w:p w14:paraId="074B067E" w14:textId="77777777" w:rsidR="00086DAA" w:rsidRDefault="005541F6">
                            <w:pPr>
                              <w:rPr>
                                <w:sz w:val="20"/>
                              </w:rPr>
                            </w:pPr>
                            <w:r>
                              <w:rPr>
                                <w:rFonts w:ascii="ＭＳ 明朝" w:eastAsia="ＭＳ 明朝" w:hAnsi="ＭＳ 明朝" w:hint="eastAsia"/>
                                <w:color w:val="000000"/>
                                <w:sz w:val="16"/>
                              </w:rPr>
                              <w:t>（注２）現住居の敷地を所有している世帯又は現住居の敷地以外の土地を所有している世帯</w:t>
                            </w:r>
                          </w:p>
                        </w:txbxContent>
                      </wps:txbx>
                      <wps:bodyPr vertOverflow="clip" horzOverflow="clip" wrap="square" lIns="36000" tIns="36000" rIns="36000" bIns="36000" rtlCol="0" anchor="t"/>
                    </wps:wsp>
                  </a:graphicData>
                </a:graphic>
              </wp:anchor>
            </w:drawing>
          </mc:Choice>
          <mc:Fallback>
            <w:pict>
              <v:shapetype id="_x0000_t202" coordsize="21600,21600" o:spt="202" path="m,l,21600r21600,l21600,xe">
                <v:stroke joinstyle="miter"/>
                <v:path gradientshapeok="t" o:connecttype="rect"/>
              </v:shapetype>
              <v:shape id="テキスト ボックス 10" style="mso-wrap-distance-right:9pt;mso-wrap-distance-bottom:0pt;margin-top:51pt;mso-position-vertical-relative:text;mso-position-horizontal-relative:text;v-text-anchor:top;position:absolute;mso-wrap-mode:square;height:36.200000000000003pt;mso-wrap-distance-top:0pt;width:453.55pt;mso-wrap-distance-left:9pt;margin-left:17.850000000000001pt;z-index:35;" o:spid="_x0000_s1112" o:allowincell="t" o:allowoverlap="t" filled="t" fillcolor="#ffffff" stroked="t" strokecolor="#000000" strokeweight="0.75pt" o:spt="202" type="#_x0000_t202">
                <v:fill/>
                <v:stroke linestyle="single" dashstyle="shortdash" filltype="solid"/>
                <v:textbox style="layout-flow:horizontal;" inset="0.99999999999999978mm,0.99999999999999978mm,0.99999999999999978mm,0.99999999999999978mm">
                  <w:txbxContent>
                    <w:p>
                      <w:pPr>
                        <w:pStyle w:val="0"/>
                        <w:rPr>
                          <w:rFonts w:hint="default"/>
                          <w:kern w:val="0"/>
                          <w:sz w:val="22"/>
                        </w:rPr>
                      </w:pPr>
                      <w:r>
                        <w:rPr>
                          <w:rFonts w:hint="eastAsia" w:ascii="ＭＳ 明朝" w:hAnsi="ＭＳ 明朝" w:eastAsia="ＭＳ 明朝"/>
                          <w:color w:val="000000"/>
                          <w:sz w:val="16"/>
                        </w:rPr>
                        <w:t>（注１）現住居を所有している世帯又は現住居以外の住宅を所有している世帯</w:t>
                      </w:r>
                    </w:p>
                    <w:p>
                      <w:pPr>
                        <w:pStyle w:val="0"/>
                        <w:rPr>
                          <w:rFonts w:hint="default"/>
                          <w:sz w:val="20"/>
                        </w:rPr>
                      </w:pPr>
                      <w:r>
                        <w:rPr>
                          <w:rFonts w:hint="eastAsia" w:ascii="ＭＳ 明朝" w:hAnsi="ＭＳ 明朝" w:eastAsia="ＭＳ 明朝"/>
                          <w:color w:val="000000"/>
                          <w:sz w:val="16"/>
                        </w:rPr>
                        <w:t>（注２）現住居の敷地を所有している世帯又は現住居の敷地以外の土地を所有している世帯</w:t>
                      </w:r>
                    </w:p>
                  </w:txbxContent>
                </v:textbox>
                <v:imagedata o:title=""/>
                <w10:wrap type="square" side="both" anchorx="text" anchory="text"/>
              </v:shape>
            </w:pict>
          </mc:Fallback>
        </mc:AlternateContent>
      </w:r>
      <w:r>
        <w:rPr>
          <w:rFonts w:asciiTheme="minorEastAsia" w:hAnsiTheme="minorEastAsia" w:hint="eastAsia"/>
          <w:sz w:val="22"/>
        </w:rPr>
        <w:t>土地を所有している世帯のうち、現住居の敷地を所有している世帯は</w:t>
      </w:r>
      <w:r>
        <w:rPr>
          <w:rFonts w:asciiTheme="minorEastAsia" w:hAnsiTheme="minorEastAsia" w:hint="eastAsia"/>
          <w:sz w:val="22"/>
        </w:rPr>
        <w:t>260</w:t>
      </w:r>
      <w:r>
        <w:rPr>
          <w:rFonts w:asciiTheme="minorEastAsia" w:hAnsiTheme="minorEastAsia" w:hint="eastAsia"/>
          <w:sz w:val="22"/>
        </w:rPr>
        <w:t>千世帯、普通世帯</w:t>
      </w:r>
      <w:r>
        <w:rPr>
          <w:rFonts w:asciiTheme="minorEastAsia" w:hAnsiTheme="minorEastAsia" w:hint="eastAsia"/>
          <w:sz w:val="22"/>
        </w:rPr>
        <w:t>全体の</w:t>
      </w:r>
      <w:r>
        <w:rPr>
          <w:rFonts w:asciiTheme="minorEastAsia" w:hAnsiTheme="minorEastAsia" w:hint="eastAsia"/>
          <w:sz w:val="22"/>
        </w:rPr>
        <w:t>68.4</w:t>
      </w:r>
      <w:r>
        <w:rPr>
          <w:rFonts w:asciiTheme="minorEastAsia" w:hAnsiTheme="minorEastAsia" w:hint="eastAsia"/>
          <w:sz w:val="22"/>
        </w:rPr>
        <w:t>％で平成</w:t>
      </w:r>
      <w:r>
        <w:rPr>
          <w:rFonts w:asciiTheme="minorEastAsia" w:hAnsiTheme="minorEastAsia" w:hint="eastAsia"/>
          <w:sz w:val="22"/>
        </w:rPr>
        <w:t>25</w:t>
      </w:r>
      <w:r>
        <w:rPr>
          <w:rFonts w:asciiTheme="minorEastAsia" w:hAnsiTheme="minorEastAsia" w:hint="eastAsia"/>
          <w:sz w:val="22"/>
        </w:rPr>
        <w:t>年から</w:t>
      </w:r>
      <w:r>
        <w:rPr>
          <w:rFonts w:asciiTheme="minorEastAsia" w:hAnsiTheme="minorEastAsia" w:hint="eastAsia"/>
          <w:sz w:val="22"/>
        </w:rPr>
        <w:t>0.8</w:t>
      </w:r>
      <w:r>
        <w:rPr>
          <w:rFonts w:asciiTheme="minorEastAsia" w:hAnsiTheme="minorEastAsia" w:hint="eastAsia"/>
          <w:sz w:val="22"/>
        </w:rPr>
        <w:t>ポイント減少した。また、現住居の敷地以外の土地を所有している世帯は</w:t>
      </w:r>
      <w:r>
        <w:rPr>
          <w:rFonts w:asciiTheme="minorEastAsia" w:hAnsiTheme="minorEastAsia" w:hint="eastAsia"/>
          <w:sz w:val="22"/>
        </w:rPr>
        <w:t>103</w:t>
      </w:r>
      <w:r>
        <w:rPr>
          <w:rFonts w:asciiTheme="minorEastAsia" w:hAnsiTheme="minorEastAsia" w:hint="eastAsia"/>
          <w:sz w:val="22"/>
        </w:rPr>
        <w:t>千世帯、普通世帯全体の</w:t>
      </w:r>
      <w:r>
        <w:rPr>
          <w:rFonts w:asciiTheme="minorEastAsia" w:hAnsiTheme="minorEastAsia" w:hint="eastAsia"/>
          <w:sz w:val="22"/>
        </w:rPr>
        <w:t>27.1</w:t>
      </w:r>
      <w:r>
        <w:rPr>
          <w:rFonts w:asciiTheme="minorEastAsia" w:hAnsiTheme="minorEastAsia" w:hint="eastAsia"/>
          <w:sz w:val="22"/>
        </w:rPr>
        <w:t>％で</w:t>
      </w:r>
      <w:r>
        <w:rPr>
          <w:rFonts w:asciiTheme="minorEastAsia" w:hAnsiTheme="minorEastAsia" w:hint="eastAsia"/>
          <w:sz w:val="22"/>
        </w:rPr>
        <w:t>0.5</w:t>
      </w:r>
      <w:r>
        <w:rPr>
          <w:rFonts w:asciiTheme="minorEastAsia" w:hAnsiTheme="minorEastAsia" w:hint="eastAsia"/>
          <w:sz w:val="22"/>
        </w:rPr>
        <w:t>ポイント増加した。</w:t>
      </w:r>
    </w:p>
    <w:p w14:paraId="0E59A3C2" w14:textId="2F9D1931" w:rsidR="00086DAA" w:rsidRDefault="005541F6">
      <w:pPr>
        <w:widowControl/>
        <w:jc w:val="center"/>
        <w:rPr>
          <w:rFonts w:asciiTheme="minorEastAsia" w:hAnsiTheme="minorEastAsia"/>
          <w:sz w:val="24"/>
        </w:rPr>
      </w:pPr>
      <w:r>
        <w:rPr>
          <w:noProof/>
        </w:rPr>
        <w:drawing>
          <wp:anchor distT="0" distB="0" distL="114300" distR="114300" simplePos="0" relativeHeight="37" behindDoc="0" locked="0" layoutInCell="1" hidden="0" allowOverlap="1" wp14:anchorId="4932683E" wp14:editId="65CB473E">
            <wp:simplePos x="0" y="0"/>
            <wp:positionH relativeFrom="column">
              <wp:posOffset>3137535</wp:posOffset>
            </wp:positionH>
            <wp:positionV relativeFrom="paragraph">
              <wp:posOffset>3778250</wp:posOffset>
            </wp:positionV>
            <wp:extent cx="3095625" cy="1979930"/>
            <wp:effectExtent l="0" t="0" r="9525" b="1270"/>
            <wp:wrapSquare wrapText="bothSides"/>
            <wp:docPr id="111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anchor>
        </w:drawing>
      </w:r>
      <w:r>
        <w:rPr>
          <w:noProof/>
        </w:rPr>
        <w:drawing>
          <wp:anchor distT="0" distB="0" distL="114300" distR="114300" simplePos="0" relativeHeight="66" behindDoc="0" locked="0" layoutInCell="1" hidden="0" allowOverlap="1" wp14:anchorId="005B5A2C" wp14:editId="354CCB68">
            <wp:simplePos x="0" y="0"/>
            <wp:positionH relativeFrom="column">
              <wp:posOffset>52705</wp:posOffset>
            </wp:positionH>
            <wp:positionV relativeFrom="paragraph">
              <wp:posOffset>3777615</wp:posOffset>
            </wp:positionV>
            <wp:extent cx="3059430" cy="1979930"/>
            <wp:effectExtent l="0" t="0" r="7620" b="1270"/>
            <wp:wrapSquare wrapText="bothSides"/>
            <wp:docPr id="111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r>
        <w:rPr>
          <w:rFonts w:asciiTheme="minorEastAsia" w:hAnsiTheme="minorEastAsia"/>
          <w:sz w:val="24"/>
        </w:rPr>
        <w:pict w14:anchorId="7928DC6C">
          <v:shape id="_x0000_i1092" type="#_x0000_t75" style="width:388.8pt;height:244.8pt">
            <v:imagedata r:id="rId92" o:title=""/>
          </v:shape>
        </w:pict>
      </w:r>
    </w:p>
    <w:p w14:paraId="1FEBF23D" w14:textId="77777777" w:rsidR="00086DAA" w:rsidRDefault="005541F6">
      <w:pPr>
        <w:widowControl/>
        <w:ind w:firstLineChars="124" w:firstLine="257"/>
        <w:jc w:val="left"/>
        <w:rPr>
          <w:rFonts w:asciiTheme="minorEastAsia" w:hAnsiTheme="minorEastAsia"/>
          <w:sz w:val="22"/>
        </w:rPr>
      </w:pPr>
      <w:r>
        <w:rPr>
          <w:rFonts w:asciiTheme="minorEastAsia" w:hAnsiTheme="minorEastAsia" w:hint="eastAsia"/>
          <w:sz w:val="22"/>
        </w:rPr>
        <w:lastRenderedPageBreak/>
        <w:t>平成</w:t>
      </w:r>
      <w:r>
        <w:rPr>
          <w:rFonts w:asciiTheme="minorEastAsia" w:hAnsiTheme="minorEastAsia" w:hint="eastAsia"/>
          <w:sz w:val="22"/>
        </w:rPr>
        <w:t>30</w:t>
      </w:r>
      <w:r>
        <w:rPr>
          <w:rFonts w:asciiTheme="minorEastAsia" w:hAnsiTheme="minorEastAsia" w:hint="eastAsia"/>
          <w:sz w:val="22"/>
        </w:rPr>
        <w:t>年の都道府県別住宅の所有率をみると、秋田県</w:t>
      </w:r>
      <w:r>
        <w:rPr>
          <w:rFonts w:asciiTheme="minorEastAsia" w:hAnsiTheme="minorEastAsia" w:hint="eastAsia"/>
          <w:sz w:val="22"/>
        </w:rPr>
        <w:t>(70.8</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は全国第１位で、全国平均の</w:t>
      </w:r>
      <w:r>
        <w:rPr>
          <w:rFonts w:asciiTheme="minorEastAsia" w:hAnsiTheme="minorEastAsia" w:hint="eastAsia"/>
          <w:sz w:val="22"/>
        </w:rPr>
        <w:t>50.5</w:t>
      </w:r>
      <w:r>
        <w:rPr>
          <w:rFonts w:asciiTheme="minorEastAsia" w:hAnsiTheme="minorEastAsia" w:hint="eastAsia"/>
          <w:sz w:val="22"/>
        </w:rPr>
        <w:t>％に比べ</w:t>
      </w:r>
      <w:r>
        <w:rPr>
          <w:rFonts w:asciiTheme="minorEastAsia" w:hAnsiTheme="minorEastAsia" w:hint="eastAsia"/>
          <w:sz w:val="22"/>
        </w:rPr>
        <w:t>20.3</w:t>
      </w:r>
      <w:r>
        <w:rPr>
          <w:rFonts w:asciiTheme="minorEastAsia" w:hAnsiTheme="minorEastAsia" w:hint="eastAsia"/>
          <w:sz w:val="22"/>
        </w:rPr>
        <w:t>ポイント上回っている。</w:t>
      </w:r>
    </w:p>
    <w:p w14:paraId="39B8E0CF" w14:textId="77777777" w:rsidR="00086DAA" w:rsidRDefault="005541F6">
      <w:pPr>
        <w:widowControl/>
        <w:ind w:firstLineChars="124" w:firstLine="245"/>
        <w:jc w:val="left"/>
        <w:rPr>
          <w:rFonts w:asciiTheme="minorEastAsia" w:hAnsiTheme="minorEastAsia"/>
          <w:sz w:val="22"/>
        </w:rPr>
      </w:pPr>
      <w:r>
        <w:rPr>
          <w:noProof/>
        </w:rPr>
        <w:drawing>
          <wp:anchor distT="0" distB="0" distL="114300" distR="114300" simplePos="0" relativeHeight="24" behindDoc="0" locked="0" layoutInCell="1" hidden="0" allowOverlap="1" wp14:anchorId="50B8FC18" wp14:editId="2A0F7E9D">
            <wp:simplePos x="0" y="0"/>
            <wp:positionH relativeFrom="column">
              <wp:posOffset>136525</wp:posOffset>
            </wp:positionH>
            <wp:positionV relativeFrom="paragraph">
              <wp:posOffset>548005</wp:posOffset>
            </wp:positionV>
            <wp:extent cx="6263640" cy="2609850"/>
            <wp:effectExtent l="0" t="0" r="3810" b="0"/>
            <wp:wrapSquare wrapText="bothSides"/>
            <wp:docPr id="111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r>
        <w:rPr>
          <w:rFonts w:asciiTheme="minorEastAsia" w:hAnsiTheme="minorEastAsia" w:hint="eastAsia"/>
          <w:sz w:val="22"/>
        </w:rPr>
        <w:t>また、土地の所有率をみると、秋田県</w:t>
      </w:r>
      <w:r>
        <w:rPr>
          <w:rFonts w:asciiTheme="minorEastAsia" w:hAnsiTheme="minorEastAsia" w:hint="eastAsia"/>
          <w:sz w:val="22"/>
        </w:rPr>
        <w:t>(70.3</w:t>
      </w:r>
      <w:r>
        <w:rPr>
          <w:rFonts w:asciiTheme="minorEastAsia" w:hAnsiTheme="minorEastAsia" w:hint="eastAsia"/>
          <w:sz w:val="22"/>
        </w:rPr>
        <w:t>％</w:t>
      </w:r>
      <w:r>
        <w:rPr>
          <w:rFonts w:asciiTheme="minorEastAsia" w:hAnsiTheme="minorEastAsia" w:hint="eastAsia"/>
          <w:sz w:val="22"/>
        </w:rPr>
        <w:t>)</w:t>
      </w:r>
      <w:r>
        <w:rPr>
          <w:rFonts w:asciiTheme="minorEastAsia" w:hAnsiTheme="minorEastAsia" w:hint="eastAsia"/>
          <w:sz w:val="22"/>
        </w:rPr>
        <w:t>はこちらも全国第１位で、全国平均の</w:t>
      </w:r>
      <w:r>
        <w:rPr>
          <w:rFonts w:asciiTheme="minorEastAsia" w:hAnsiTheme="minorEastAsia" w:hint="eastAsia"/>
          <w:sz w:val="22"/>
        </w:rPr>
        <w:t>49.6</w:t>
      </w:r>
      <w:r>
        <w:rPr>
          <w:rFonts w:asciiTheme="minorEastAsia" w:hAnsiTheme="minorEastAsia" w:hint="eastAsia"/>
          <w:sz w:val="22"/>
        </w:rPr>
        <w:t>％に比べ</w:t>
      </w:r>
      <w:r>
        <w:rPr>
          <w:rFonts w:asciiTheme="minorEastAsia" w:hAnsiTheme="minorEastAsia" w:hint="eastAsia"/>
          <w:sz w:val="22"/>
        </w:rPr>
        <w:t>20.7</w:t>
      </w:r>
      <w:r>
        <w:rPr>
          <w:rFonts w:asciiTheme="minorEastAsia" w:hAnsiTheme="minorEastAsia" w:hint="eastAsia"/>
          <w:sz w:val="22"/>
        </w:rPr>
        <w:t>ポイント上回っている。</w:t>
      </w:r>
    </w:p>
    <w:p w14:paraId="04952617" w14:textId="77777777" w:rsidR="00086DAA" w:rsidRDefault="00086DAA">
      <w:pPr>
        <w:widowControl/>
        <w:jc w:val="center"/>
        <w:rPr>
          <w:rFonts w:asciiTheme="minorEastAsia" w:hAnsiTheme="minorEastAsia"/>
          <w:sz w:val="24"/>
        </w:rPr>
      </w:pPr>
    </w:p>
    <w:p w14:paraId="68E2FF5E" w14:textId="77777777" w:rsidR="00086DAA" w:rsidRDefault="005541F6">
      <w:pPr>
        <w:widowControl/>
        <w:jc w:val="left"/>
        <w:rPr>
          <w:rFonts w:asciiTheme="minorEastAsia" w:hAnsiTheme="minorEastAsia"/>
          <w:sz w:val="24"/>
        </w:rPr>
      </w:pPr>
      <w:r>
        <w:rPr>
          <w:noProof/>
          <w:sz w:val="20"/>
        </w:rPr>
        <w:drawing>
          <wp:anchor distT="0" distB="0" distL="114300" distR="114300" simplePos="0" relativeHeight="27" behindDoc="0" locked="0" layoutInCell="1" hidden="0" allowOverlap="1" wp14:anchorId="56E4760B" wp14:editId="5146258D">
            <wp:simplePos x="0" y="0"/>
            <wp:positionH relativeFrom="column">
              <wp:posOffset>136525</wp:posOffset>
            </wp:positionH>
            <wp:positionV relativeFrom="paragraph">
              <wp:posOffset>207010</wp:posOffset>
            </wp:positionV>
            <wp:extent cx="6263640" cy="2609850"/>
            <wp:effectExtent l="0" t="0" r="3810" b="0"/>
            <wp:wrapSquare wrapText="bothSides"/>
            <wp:docPr id="1117"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r>
        <w:rPr>
          <w:rFonts w:asciiTheme="minorEastAsia" w:hAnsiTheme="minorEastAsia"/>
          <w:sz w:val="24"/>
        </w:rPr>
        <w:br w:type="page"/>
      </w:r>
    </w:p>
    <w:p w14:paraId="676BB022" w14:textId="77777777" w:rsidR="00086DAA" w:rsidRDefault="005541F6">
      <w:pPr>
        <w:widowControl/>
        <w:ind w:firstLineChars="136" w:firstLine="283"/>
        <w:jc w:val="left"/>
        <w:rPr>
          <w:rFonts w:ascii="ＭＳ Ｐゴシック" w:eastAsia="ＭＳ Ｐゴシック" w:hAnsi="ＭＳ Ｐゴシック"/>
          <w:kern w:val="0"/>
          <w:sz w:val="28"/>
        </w:rPr>
      </w:pPr>
      <w:r>
        <w:rPr>
          <w:rFonts w:ascii="ＭＳ ゴシック" w:eastAsia="ＭＳ ゴシック" w:hAnsi="ＭＳ ゴシック" w:hint="eastAsia"/>
          <w:b/>
          <w:color w:val="000000" w:themeColor="dark1"/>
          <w:kern w:val="0"/>
          <w:sz w:val="22"/>
        </w:rPr>
        <w:lastRenderedPageBreak/>
        <w:t>以下では、住宅と土地の所有状況について、世帯の家計を主に支える者の年齢階級別並びに従業上の地位別、さらに世帯の年間収入階級別にみることにする</w:t>
      </w:r>
      <w:r>
        <w:rPr>
          <w:rFonts w:ascii="ＭＳ ゴシック" w:eastAsia="ＭＳ ゴシック" w:hAnsi="ＭＳ ゴシック" w:hint="eastAsia"/>
          <w:b/>
          <w:color w:val="000000" w:themeColor="dark1"/>
          <w:kern w:val="0"/>
          <w:sz w:val="24"/>
        </w:rPr>
        <w:t>。</w:t>
      </w:r>
    </w:p>
    <w:p w14:paraId="2950F347" w14:textId="77777777" w:rsidR="00086DAA" w:rsidRDefault="00086DAA">
      <w:pPr>
        <w:widowControl/>
        <w:jc w:val="left"/>
        <w:rPr>
          <w:rFonts w:asciiTheme="minorEastAsia" w:hAnsiTheme="minorEastAsia"/>
          <w:sz w:val="24"/>
        </w:rPr>
      </w:pPr>
    </w:p>
    <w:p w14:paraId="2191A5FD" w14:textId="77777777" w:rsidR="00086DAA" w:rsidRDefault="005541F6">
      <w:pPr>
        <w:widowControl/>
        <w:jc w:val="left"/>
        <w:rPr>
          <w:rFonts w:asciiTheme="majorEastAsia" w:eastAsiaTheme="majorEastAsia" w:hAnsiTheme="majorEastAsia"/>
          <w:b/>
          <w:sz w:val="26"/>
        </w:rPr>
      </w:pPr>
      <w:r>
        <w:rPr>
          <w:rFonts w:asciiTheme="majorEastAsia" w:eastAsiaTheme="majorEastAsia" w:hAnsiTheme="majorEastAsia"/>
          <w:b/>
          <w:sz w:val="26"/>
        </w:rPr>
        <w:t>２　年齢階級別住宅・土地の所有状況</w:t>
      </w:r>
    </w:p>
    <w:p w14:paraId="6B99A16A"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家計を主に支える者の年齢階級別に住宅及び土地の所有率をみると、年齢階級が高くなるにつれて住宅及び土地の所有率がともに上昇傾向にあり、いずれも</w:t>
      </w:r>
      <w:r>
        <w:rPr>
          <w:rFonts w:asciiTheme="minorEastAsia" w:hAnsiTheme="minorEastAsia" w:hint="eastAsia"/>
          <w:sz w:val="22"/>
        </w:rPr>
        <w:t>40</w:t>
      </w:r>
      <w:r>
        <w:rPr>
          <w:rFonts w:asciiTheme="minorEastAsia" w:hAnsiTheme="minorEastAsia" w:hint="eastAsia"/>
          <w:sz w:val="22"/>
        </w:rPr>
        <w:t>歳以上では</w:t>
      </w:r>
      <w:r>
        <w:rPr>
          <w:rFonts w:asciiTheme="minorEastAsia" w:hAnsiTheme="minorEastAsia" w:hint="eastAsia"/>
          <w:sz w:val="22"/>
        </w:rPr>
        <w:t>60</w:t>
      </w:r>
      <w:r>
        <w:rPr>
          <w:rFonts w:asciiTheme="minorEastAsia" w:hAnsiTheme="minorEastAsia" w:hint="eastAsia"/>
          <w:sz w:val="22"/>
        </w:rPr>
        <w:t>％超、</w:t>
      </w:r>
      <w:r>
        <w:rPr>
          <w:rFonts w:asciiTheme="minorEastAsia" w:hAnsiTheme="minorEastAsia" w:hint="eastAsia"/>
          <w:sz w:val="22"/>
        </w:rPr>
        <w:t>60</w:t>
      </w:r>
      <w:r>
        <w:rPr>
          <w:rFonts w:asciiTheme="minorEastAsia" w:hAnsiTheme="minorEastAsia" w:hint="eastAsia"/>
          <w:sz w:val="22"/>
        </w:rPr>
        <w:t>歳以上では</w:t>
      </w:r>
      <w:r>
        <w:rPr>
          <w:rFonts w:asciiTheme="minorEastAsia" w:hAnsiTheme="minorEastAsia" w:hint="eastAsia"/>
          <w:sz w:val="22"/>
        </w:rPr>
        <w:t>80</w:t>
      </w:r>
      <w:r>
        <w:rPr>
          <w:rFonts w:asciiTheme="minorEastAsia" w:hAnsiTheme="minorEastAsia" w:hint="eastAsia"/>
          <w:sz w:val="22"/>
        </w:rPr>
        <w:t>％超となっている。</w:t>
      </w:r>
    </w:p>
    <w:p w14:paraId="7FD25CC9"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また、全国と比較すると、住宅及び土地の所有率ともに「</w:t>
      </w:r>
      <w:r>
        <w:rPr>
          <w:rFonts w:asciiTheme="minorEastAsia" w:hAnsiTheme="minorEastAsia" w:hint="eastAsia"/>
          <w:sz w:val="22"/>
        </w:rPr>
        <w:t>25</w:t>
      </w:r>
      <w:r>
        <w:rPr>
          <w:rFonts w:asciiTheme="minorEastAsia" w:hAnsiTheme="minorEastAsia" w:hint="eastAsia"/>
          <w:sz w:val="22"/>
        </w:rPr>
        <w:t>歳未満」では全国の方が高くなっているが、それ以外の年齢階級ではいずれも秋</w:t>
      </w:r>
      <w:r>
        <w:rPr>
          <w:rFonts w:asciiTheme="minorEastAsia" w:hAnsiTheme="minorEastAsia" w:hint="eastAsia"/>
          <w:sz w:val="22"/>
        </w:rPr>
        <w:t>田県が全国を上回っている。</w:t>
      </w:r>
    </w:p>
    <w:p w14:paraId="443E7FD5" w14:textId="77777777" w:rsidR="00086DAA" w:rsidRDefault="005541F6">
      <w:pPr>
        <w:widowControl/>
        <w:jc w:val="center"/>
        <w:rPr>
          <w:rFonts w:asciiTheme="minorEastAsia" w:hAnsiTheme="minorEastAsia"/>
          <w:sz w:val="24"/>
        </w:rPr>
      </w:pPr>
      <w:r>
        <w:rPr>
          <w:rFonts w:asciiTheme="minorEastAsia" w:hAnsiTheme="minorEastAsia"/>
          <w:noProof/>
          <w:sz w:val="24"/>
        </w:rPr>
        <w:drawing>
          <wp:inline distT="0" distB="0" distL="0" distR="0" wp14:anchorId="086A22A5" wp14:editId="6ABFD294">
            <wp:extent cx="5878195" cy="2131060"/>
            <wp:effectExtent l="0" t="0" r="0" b="0"/>
            <wp:docPr id="1118" name="オブジェクト 0"/>
            <wp:cNvGraphicFramePr/>
            <a:graphic xmlns:a="http://schemas.openxmlformats.org/drawingml/2006/main">
              <a:graphicData uri="http://schemas.openxmlformats.org/drawingml/2006/picture">
                <pic:pic xmlns:pic="http://schemas.openxmlformats.org/drawingml/2006/picture">
                  <pic:nvPicPr>
                    <pic:cNvPr id="1118" name="オブジェクト 0"/>
                    <pic:cNvPicPr>
                      <a:picLocks noChangeAspect="1"/>
                    </pic:cNvPicPr>
                  </pic:nvPicPr>
                  <pic:blipFill>
                    <a:blip r:embed="rId95"/>
                    <a:stretch>
                      <a:fillRect/>
                    </a:stretch>
                  </pic:blipFill>
                  <pic:spPr>
                    <a:xfrm>
                      <a:off x="0" y="0"/>
                      <a:ext cx="5878195" cy="2131060"/>
                    </a:xfrm>
                    <a:prstGeom prst="rect">
                      <a:avLst/>
                    </a:prstGeom>
                    <a:noFill/>
                    <a:ln>
                      <a:miter/>
                    </a:ln>
                  </pic:spPr>
                </pic:pic>
              </a:graphicData>
            </a:graphic>
          </wp:inline>
        </w:drawing>
      </w:r>
    </w:p>
    <w:p w14:paraId="2CBAEF1D" w14:textId="77777777" w:rsidR="00086DAA" w:rsidRDefault="005541F6">
      <w:pPr>
        <w:widowControl/>
        <w:jc w:val="left"/>
        <w:rPr>
          <w:rFonts w:asciiTheme="minorEastAsia" w:hAnsiTheme="minorEastAsia"/>
          <w:sz w:val="24"/>
        </w:rPr>
      </w:pPr>
      <w:r>
        <w:rPr>
          <w:noProof/>
        </w:rPr>
        <w:drawing>
          <wp:anchor distT="0" distB="0" distL="114300" distR="114300" simplePos="0" relativeHeight="80" behindDoc="0" locked="0" layoutInCell="1" hidden="0" allowOverlap="1" wp14:anchorId="5BFE7246" wp14:editId="3982CBA7">
            <wp:simplePos x="0" y="0"/>
            <wp:positionH relativeFrom="column">
              <wp:posOffset>456565</wp:posOffset>
            </wp:positionH>
            <wp:positionV relativeFrom="paragraph">
              <wp:posOffset>26035</wp:posOffset>
            </wp:positionV>
            <wp:extent cx="5327650" cy="2447925"/>
            <wp:effectExtent l="0" t="0" r="6350" b="9525"/>
            <wp:wrapSquare wrapText="bothSides"/>
            <wp:docPr id="1119"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anchor>
        </w:drawing>
      </w:r>
    </w:p>
    <w:p w14:paraId="1A73F21F" w14:textId="77777777" w:rsidR="00086DAA" w:rsidRDefault="00086DAA">
      <w:pPr>
        <w:widowControl/>
        <w:jc w:val="left"/>
        <w:rPr>
          <w:rFonts w:asciiTheme="minorEastAsia" w:hAnsiTheme="minorEastAsia"/>
          <w:sz w:val="24"/>
        </w:rPr>
      </w:pPr>
    </w:p>
    <w:p w14:paraId="6D1C46C8" w14:textId="77777777" w:rsidR="00086DAA" w:rsidRDefault="00086DAA">
      <w:pPr>
        <w:widowControl/>
        <w:jc w:val="left"/>
        <w:rPr>
          <w:rFonts w:asciiTheme="minorEastAsia" w:hAnsiTheme="minorEastAsia"/>
          <w:sz w:val="24"/>
        </w:rPr>
      </w:pPr>
    </w:p>
    <w:p w14:paraId="70D45759" w14:textId="77777777" w:rsidR="00086DAA" w:rsidRDefault="00086DAA">
      <w:pPr>
        <w:widowControl/>
        <w:jc w:val="left"/>
        <w:rPr>
          <w:rFonts w:asciiTheme="minorEastAsia" w:hAnsiTheme="minorEastAsia"/>
          <w:sz w:val="24"/>
        </w:rPr>
      </w:pPr>
    </w:p>
    <w:p w14:paraId="1D27D25E" w14:textId="77777777" w:rsidR="00086DAA" w:rsidRDefault="00086DAA">
      <w:pPr>
        <w:widowControl/>
        <w:jc w:val="left"/>
        <w:rPr>
          <w:rFonts w:asciiTheme="minorEastAsia" w:hAnsiTheme="minorEastAsia"/>
          <w:sz w:val="24"/>
        </w:rPr>
      </w:pPr>
    </w:p>
    <w:p w14:paraId="1BBE1C52" w14:textId="77777777" w:rsidR="00086DAA" w:rsidRDefault="00086DAA">
      <w:pPr>
        <w:widowControl/>
        <w:jc w:val="left"/>
        <w:rPr>
          <w:rFonts w:asciiTheme="minorEastAsia" w:hAnsiTheme="minorEastAsia"/>
          <w:sz w:val="24"/>
        </w:rPr>
      </w:pPr>
    </w:p>
    <w:p w14:paraId="675123CB" w14:textId="77777777" w:rsidR="00086DAA" w:rsidRDefault="00086DAA">
      <w:pPr>
        <w:widowControl/>
        <w:jc w:val="left"/>
        <w:rPr>
          <w:rFonts w:asciiTheme="minorEastAsia" w:hAnsiTheme="minorEastAsia"/>
          <w:sz w:val="24"/>
        </w:rPr>
      </w:pPr>
    </w:p>
    <w:p w14:paraId="2ED710D1" w14:textId="77777777" w:rsidR="00086DAA" w:rsidRDefault="00086DAA">
      <w:pPr>
        <w:widowControl/>
        <w:jc w:val="left"/>
        <w:rPr>
          <w:rFonts w:asciiTheme="minorEastAsia" w:hAnsiTheme="minorEastAsia"/>
          <w:sz w:val="24"/>
        </w:rPr>
      </w:pPr>
    </w:p>
    <w:p w14:paraId="0BACF540" w14:textId="77777777" w:rsidR="00086DAA" w:rsidRDefault="00086DAA">
      <w:pPr>
        <w:widowControl/>
        <w:jc w:val="left"/>
        <w:rPr>
          <w:rFonts w:asciiTheme="minorEastAsia" w:hAnsiTheme="minorEastAsia"/>
          <w:sz w:val="24"/>
        </w:rPr>
      </w:pPr>
    </w:p>
    <w:p w14:paraId="05494B21" w14:textId="77777777" w:rsidR="00086DAA" w:rsidRDefault="00086DAA">
      <w:pPr>
        <w:widowControl/>
        <w:jc w:val="left"/>
        <w:rPr>
          <w:rFonts w:asciiTheme="minorEastAsia" w:hAnsiTheme="minorEastAsia"/>
          <w:sz w:val="24"/>
        </w:rPr>
      </w:pPr>
    </w:p>
    <w:p w14:paraId="67D3F146" w14:textId="77777777" w:rsidR="00086DAA" w:rsidRDefault="00086DAA">
      <w:pPr>
        <w:widowControl/>
        <w:jc w:val="left"/>
        <w:rPr>
          <w:rFonts w:asciiTheme="minorEastAsia" w:hAnsiTheme="minorEastAsia"/>
          <w:sz w:val="24"/>
        </w:rPr>
      </w:pPr>
    </w:p>
    <w:p w14:paraId="48DC04CA" w14:textId="77777777" w:rsidR="00086DAA" w:rsidRDefault="00086DAA">
      <w:pPr>
        <w:widowControl/>
        <w:jc w:val="left"/>
        <w:rPr>
          <w:rFonts w:asciiTheme="minorEastAsia" w:hAnsiTheme="minorEastAsia"/>
          <w:sz w:val="24"/>
        </w:rPr>
      </w:pPr>
    </w:p>
    <w:p w14:paraId="3BB0849D" w14:textId="77777777" w:rsidR="00086DAA" w:rsidRDefault="005541F6">
      <w:pPr>
        <w:widowControl/>
        <w:jc w:val="center"/>
        <w:rPr>
          <w:rFonts w:asciiTheme="minorEastAsia" w:hAnsiTheme="minorEastAsia"/>
          <w:sz w:val="24"/>
        </w:rPr>
      </w:pPr>
      <w:r>
        <w:rPr>
          <w:noProof/>
        </w:rPr>
        <w:drawing>
          <wp:inline distT="0" distB="0" distL="0" distR="0" wp14:anchorId="0C5366E8" wp14:editId="4323565D">
            <wp:extent cx="5327650" cy="2447925"/>
            <wp:effectExtent l="0" t="0" r="6350" b="9525"/>
            <wp:docPr id="112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DDC3C98" w14:textId="77777777" w:rsidR="00086DAA" w:rsidRDefault="005541F6">
      <w:pPr>
        <w:widowControl/>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３　従業上の地位別住宅・土地の所有状況</w:t>
      </w:r>
    </w:p>
    <w:p w14:paraId="050D90F4"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家計を主に支える者の従業上の地位別に住宅及び土地の所有率をみると、「農林・漁業主」が住宅と土地ともに</w:t>
      </w:r>
      <w:r>
        <w:rPr>
          <w:rFonts w:asciiTheme="minorEastAsia" w:hAnsiTheme="minorEastAsia" w:hint="eastAsia"/>
          <w:sz w:val="22"/>
        </w:rPr>
        <w:t>95</w:t>
      </w:r>
      <w:r>
        <w:rPr>
          <w:rFonts w:asciiTheme="minorEastAsia" w:hAnsiTheme="minorEastAsia" w:hint="eastAsia"/>
          <w:sz w:val="22"/>
        </w:rPr>
        <w:t>％超で最も高く、次いで「商工・その他の業主」となっていて、自営業主の住宅及び土地の所有率が他の雇用者や無職よりも高くなっている。</w:t>
      </w:r>
    </w:p>
    <w:p w14:paraId="747E8C52"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また、全国と比較すると、住宅及び土地の所有率ともに「学生」、「官公庁」以外は秋田県が全国を上回っている。</w:t>
      </w:r>
    </w:p>
    <w:p w14:paraId="35DA2205" w14:textId="77777777" w:rsidR="00086DAA" w:rsidRDefault="005541F6">
      <w:pPr>
        <w:widowControl/>
        <w:ind w:firstLineChars="125" w:firstLine="284"/>
        <w:jc w:val="center"/>
        <w:rPr>
          <w:rFonts w:asciiTheme="minorEastAsia" w:hAnsiTheme="minorEastAsia"/>
          <w:sz w:val="24"/>
        </w:rPr>
      </w:pPr>
      <w:r>
        <w:rPr>
          <w:rFonts w:asciiTheme="minorEastAsia" w:hAnsiTheme="minorEastAsia"/>
          <w:noProof/>
          <w:sz w:val="24"/>
        </w:rPr>
        <w:drawing>
          <wp:inline distT="0" distB="0" distL="0" distR="0" wp14:anchorId="6099181F" wp14:editId="6C3F48C8">
            <wp:extent cx="5817235" cy="2467610"/>
            <wp:effectExtent l="0" t="0" r="0" b="0"/>
            <wp:docPr id="1121" name="オブジェクト 0"/>
            <wp:cNvGraphicFramePr/>
            <a:graphic xmlns:a="http://schemas.openxmlformats.org/drawingml/2006/main">
              <a:graphicData uri="http://schemas.openxmlformats.org/drawingml/2006/picture">
                <pic:pic xmlns:pic="http://schemas.openxmlformats.org/drawingml/2006/picture">
                  <pic:nvPicPr>
                    <pic:cNvPr id="1121" name="オブジェクト 0"/>
                    <pic:cNvPicPr>
                      <a:picLocks noChangeAspect="1"/>
                    </pic:cNvPicPr>
                  </pic:nvPicPr>
                  <pic:blipFill>
                    <a:blip r:embed="rId98"/>
                    <a:stretch>
                      <a:fillRect/>
                    </a:stretch>
                  </pic:blipFill>
                  <pic:spPr>
                    <a:xfrm>
                      <a:off x="0" y="0"/>
                      <a:ext cx="5817235" cy="2467610"/>
                    </a:xfrm>
                    <a:prstGeom prst="rect">
                      <a:avLst/>
                    </a:prstGeom>
                    <a:noFill/>
                    <a:ln>
                      <a:miter/>
                    </a:ln>
                  </pic:spPr>
                </pic:pic>
              </a:graphicData>
            </a:graphic>
          </wp:inline>
        </w:drawing>
      </w:r>
      <w:r>
        <w:rPr>
          <w:noProof/>
        </w:rPr>
        <w:drawing>
          <wp:inline distT="0" distB="0" distL="0" distR="0" wp14:anchorId="52D81398" wp14:editId="67033F00">
            <wp:extent cx="5400040" cy="2663825"/>
            <wp:effectExtent l="0" t="0" r="10160" b="3175"/>
            <wp:docPr id="112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Pr>
          <w:noProof/>
        </w:rPr>
        <w:drawing>
          <wp:inline distT="0" distB="0" distL="0" distR="0" wp14:anchorId="03434EB5" wp14:editId="20650709">
            <wp:extent cx="5400040" cy="2663825"/>
            <wp:effectExtent l="0" t="0" r="10160" b="3175"/>
            <wp:docPr id="112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C57F9F4" w14:textId="77777777" w:rsidR="00086DAA" w:rsidRDefault="005541F6">
      <w:pPr>
        <w:widowControl/>
        <w:jc w:val="left"/>
        <w:rPr>
          <w:rFonts w:asciiTheme="majorEastAsia" w:eastAsiaTheme="majorEastAsia" w:hAnsiTheme="majorEastAsia"/>
          <w:b/>
          <w:sz w:val="26"/>
        </w:rPr>
      </w:pPr>
      <w:r>
        <w:rPr>
          <w:rFonts w:asciiTheme="majorEastAsia" w:eastAsiaTheme="majorEastAsia" w:hAnsiTheme="majorEastAsia" w:hint="eastAsia"/>
          <w:b/>
          <w:sz w:val="26"/>
        </w:rPr>
        <w:lastRenderedPageBreak/>
        <w:t>４　世帯の年間収入階級別住宅・土地の所有状況</w:t>
      </w:r>
    </w:p>
    <w:p w14:paraId="261CBAD7"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世帯の年間収入階級別に住宅及び土地の所有率をみると、ともに全ての階級で所有率は</w:t>
      </w:r>
      <w:r>
        <w:rPr>
          <w:rFonts w:asciiTheme="minorEastAsia" w:hAnsiTheme="minorEastAsia" w:hint="eastAsia"/>
          <w:sz w:val="22"/>
        </w:rPr>
        <w:t>50</w:t>
      </w:r>
      <w:r>
        <w:rPr>
          <w:rFonts w:asciiTheme="minorEastAsia" w:hAnsiTheme="minorEastAsia" w:hint="eastAsia"/>
          <w:sz w:val="22"/>
        </w:rPr>
        <w:t>％超となっていて、年間収入が高くなるにつれて所有率も上昇する傾向にある。</w:t>
      </w:r>
    </w:p>
    <w:p w14:paraId="3738A299" w14:textId="77777777" w:rsidR="00086DAA" w:rsidRDefault="005541F6">
      <w:pPr>
        <w:widowControl/>
        <w:ind w:firstLineChars="125" w:firstLine="259"/>
        <w:jc w:val="left"/>
        <w:rPr>
          <w:rFonts w:asciiTheme="minorEastAsia" w:hAnsiTheme="minorEastAsia"/>
          <w:sz w:val="22"/>
        </w:rPr>
      </w:pPr>
      <w:r>
        <w:rPr>
          <w:rFonts w:asciiTheme="minorEastAsia" w:hAnsiTheme="minorEastAsia" w:hint="eastAsia"/>
          <w:sz w:val="22"/>
        </w:rPr>
        <w:t>また、全国と比較すると、住宅及び土地の所有率ともに年間収入</w:t>
      </w:r>
      <w:r>
        <w:rPr>
          <w:rFonts w:asciiTheme="minorEastAsia" w:hAnsiTheme="minorEastAsia" w:hint="eastAsia"/>
          <w:sz w:val="22"/>
        </w:rPr>
        <w:t>2,000</w:t>
      </w:r>
      <w:r>
        <w:rPr>
          <w:rFonts w:asciiTheme="minorEastAsia" w:hAnsiTheme="minorEastAsia" w:hint="eastAsia"/>
          <w:sz w:val="22"/>
        </w:rPr>
        <w:t>万円以上を除く全ての階級で秋田県が全国を上回っているが、年間収入が高くなるにつれて全国との較差は縮小する傾向にある。</w:t>
      </w:r>
    </w:p>
    <w:p w14:paraId="12C28EEB" w14:textId="77777777" w:rsidR="00086DAA" w:rsidRDefault="005541F6">
      <w:pPr>
        <w:widowControl/>
        <w:jc w:val="center"/>
        <w:rPr>
          <w:rFonts w:asciiTheme="minorEastAsia" w:hAnsiTheme="minorEastAsia"/>
          <w:sz w:val="24"/>
        </w:rPr>
      </w:pPr>
      <w:r>
        <w:rPr>
          <w:rFonts w:asciiTheme="minorEastAsia" w:hAnsiTheme="minorEastAsia"/>
          <w:noProof/>
          <w:sz w:val="24"/>
        </w:rPr>
        <w:drawing>
          <wp:inline distT="0" distB="0" distL="0" distR="0" wp14:anchorId="52E35E67" wp14:editId="77A973F9">
            <wp:extent cx="5985510" cy="2524125"/>
            <wp:effectExtent l="0" t="0" r="0" b="0"/>
            <wp:docPr id="1124" name="オブジェクト 0"/>
            <wp:cNvGraphicFramePr/>
            <a:graphic xmlns:a="http://schemas.openxmlformats.org/drawingml/2006/main">
              <a:graphicData uri="http://schemas.openxmlformats.org/drawingml/2006/picture">
                <pic:pic xmlns:pic="http://schemas.openxmlformats.org/drawingml/2006/picture">
                  <pic:nvPicPr>
                    <pic:cNvPr id="1124" name="オブジェクト 0"/>
                    <pic:cNvPicPr>
                      <a:picLocks noChangeAspect="1"/>
                    </pic:cNvPicPr>
                  </pic:nvPicPr>
                  <pic:blipFill>
                    <a:blip r:embed="rId101"/>
                    <a:stretch>
                      <a:fillRect/>
                    </a:stretch>
                  </pic:blipFill>
                  <pic:spPr>
                    <a:xfrm>
                      <a:off x="0" y="0"/>
                      <a:ext cx="5985510" cy="2524125"/>
                    </a:xfrm>
                    <a:prstGeom prst="rect">
                      <a:avLst/>
                    </a:prstGeom>
                    <a:noFill/>
                    <a:ln>
                      <a:miter/>
                    </a:ln>
                  </pic:spPr>
                </pic:pic>
              </a:graphicData>
            </a:graphic>
          </wp:inline>
        </w:drawing>
      </w:r>
    </w:p>
    <w:p w14:paraId="4CF17DD9" w14:textId="77777777" w:rsidR="00086DAA" w:rsidRDefault="005541F6">
      <w:pPr>
        <w:widowControl/>
        <w:jc w:val="center"/>
        <w:rPr>
          <w:rFonts w:asciiTheme="minorEastAsia" w:hAnsiTheme="minorEastAsia"/>
          <w:sz w:val="24"/>
        </w:rPr>
      </w:pPr>
      <w:r>
        <w:rPr>
          <w:noProof/>
        </w:rPr>
        <w:drawing>
          <wp:inline distT="0" distB="0" distL="0" distR="0" wp14:anchorId="3AD32080" wp14:editId="47CDB1EB">
            <wp:extent cx="5903595" cy="2447925"/>
            <wp:effectExtent l="0" t="0" r="1905" b="9525"/>
            <wp:docPr id="112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6775DBAD" w14:textId="77777777" w:rsidR="00086DAA" w:rsidRDefault="00086DAA">
      <w:pPr>
        <w:widowControl/>
        <w:jc w:val="left"/>
        <w:rPr>
          <w:rFonts w:asciiTheme="minorEastAsia" w:hAnsiTheme="minorEastAsia"/>
          <w:sz w:val="24"/>
        </w:rPr>
      </w:pPr>
    </w:p>
    <w:p w14:paraId="2F7960A1" w14:textId="77777777" w:rsidR="00086DAA" w:rsidRDefault="005541F6">
      <w:pPr>
        <w:widowControl/>
        <w:jc w:val="center"/>
        <w:rPr>
          <w:rFonts w:asciiTheme="minorEastAsia" w:hAnsiTheme="minorEastAsia"/>
          <w:sz w:val="24"/>
        </w:rPr>
      </w:pPr>
      <w:r>
        <w:rPr>
          <w:noProof/>
        </w:rPr>
        <w:drawing>
          <wp:inline distT="0" distB="0" distL="0" distR="0" wp14:anchorId="26989489" wp14:editId="68D973D0">
            <wp:extent cx="5903595" cy="2447925"/>
            <wp:effectExtent l="0" t="0" r="1905" b="9525"/>
            <wp:docPr id="112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5E7CBFBA" w14:textId="77777777" w:rsidR="00086DAA" w:rsidRDefault="005541F6">
      <w:pPr>
        <w:widowControl/>
        <w:jc w:val="left"/>
        <w:rPr>
          <w:rFonts w:asciiTheme="minorEastAsia" w:hAnsiTheme="minorEastAsia"/>
          <w:sz w:val="24"/>
        </w:rPr>
      </w:pPr>
      <w:r>
        <w:rPr>
          <w:rFonts w:asciiTheme="minorEastAsia" w:hAnsiTheme="minorEastAsia"/>
          <w:sz w:val="24"/>
        </w:rPr>
        <w:br w:type="page"/>
      </w:r>
    </w:p>
    <w:p w14:paraId="72D42818" w14:textId="77777777" w:rsidR="00086DAA" w:rsidRDefault="00086DAA">
      <w:pPr>
        <w:rPr>
          <w:rFonts w:asciiTheme="minorEastAsia" w:hAnsiTheme="minorEastAsia"/>
          <w:sz w:val="24"/>
        </w:rPr>
        <w:sectPr w:rsidR="00086DAA">
          <w:footerReference w:type="default" r:id="rId104"/>
          <w:type w:val="continuous"/>
          <w:pgSz w:w="11906" w:h="16838"/>
          <w:pgMar w:top="1021" w:right="1021" w:bottom="1021" w:left="1021" w:header="851" w:footer="0" w:gutter="0"/>
          <w:pgNumType w:fmt="numberInDash" w:start="1"/>
          <w:cols w:space="720"/>
          <w:docGrid w:type="linesAndChars" w:linePitch="328" w:charSpace="-2606"/>
        </w:sectPr>
      </w:pPr>
    </w:p>
    <w:p w14:paraId="501325A4" w14:textId="77777777" w:rsidR="00086DAA" w:rsidRDefault="00086DAA">
      <w:pPr>
        <w:widowControl/>
        <w:jc w:val="center"/>
        <w:rPr>
          <w:rFonts w:asciiTheme="majorEastAsia" w:eastAsiaTheme="majorEastAsia" w:hAnsiTheme="majorEastAsia"/>
          <w:b/>
          <w:color w:val="000000"/>
          <w:kern w:val="0"/>
          <w:sz w:val="56"/>
        </w:rPr>
      </w:pPr>
    </w:p>
    <w:p w14:paraId="0997E76A" w14:textId="77777777" w:rsidR="00086DAA" w:rsidRDefault="00086DAA">
      <w:pPr>
        <w:widowControl/>
        <w:jc w:val="center"/>
        <w:rPr>
          <w:rFonts w:asciiTheme="majorEastAsia" w:eastAsiaTheme="majorEastAsia" w:hAnsiTheme="majorEastAsia"/>
          <w:b/>
          <w:color w:val="000000"/>
          <w:kern w:val="0"/>
          <w:sz w:val="56"/>
        </w:rPr>
      </w:pPr>
    </w:p>
    <w:p w14:paraId="23957107" w14:textId="77777777" w:rsidR="00086DAA" w:rsidRDefault="00086DAA">
      <w:pPr>
        <w:widowControl/>
        <w:jc w:val="center"/>
        <w:rPr>
          <w:rFonts w:asciiTheme="majorEastAsia" w:eastAsiaTheme="majorEastAsia" w:hAnsiTheme="majorEastAsia"/>
          <w:b/>
          <w:color w:val="000000"/>
          <w:kern w:val="0"/>
          <w:sz w:val="56"/>
        </w:rPr>
      </w:pPr>
    </w:p>
    <w:p w14:paraId="371DD0C4" w14:textId="77777777" w:rsidR="00086DAA" w:rsidRDefault="00086DAA">
      <w:pPr>
        <w:widowControl/>
        <w:jc w:val="center"/>
        <w:rPr>
          <w:rFonts w:asciiTheme="majorEastAsia" w:eastAsiaTheme="majorEastAsia" w:hAnsiTheme="majorEastAsia"/>
          <w:b/>
          <w:color w:val="000000"/>
          <w:kern w:val="0"/>
          <w:sz w:val="56"/>
        </w:rPr>
      </w:pPr>
    </w:p>
    <w:p w14:paraId="0DDEC406" w14:textId="77777777" w:rsidR="00086DAA" w:rsidRDefault="005541F6">
      <w:pPr>
        <w:widowControl/>
        <w:jc w:val="center"/>
        <w:rPr>
          <w:rFonts w:asciiTheme="majorEastAsia" w:eastAsiaTheme="majorEastAsia" w:hAnsiTheme="majorEastAsia"/>
          <w:b/>
          <w:color w:val="000000"/>
          <w:kern w:val="0"/>
          <w:sz w:val="56"/>
        </w:rPr>
      </w:pPr>
      <w:r>
        <w:rPr>
          <w:rFonts w:asciiTheme="majorEastAsia" w:eastAsiaTheme="majorEastAsia" w:hAnsiTheme="majorEastAsia" w:hint="eastAsia"/>
          <w:b/>
          <w:color w:val="000000"/>
          <w:kern w:val="0"/>
          <w:sz w:val="56"/>
        </w:rPr>
        <w:t>都道府県の主な指標</w:t>
      </w:r>
    </w:p>
    <w:p w14:paraId="3612E555" w14:textId="77777777" w:rsidR="00086DAA" w:rsidRDefault="005541F6">
      <w:pPr>
        <w:widowControl/>
        <w:jc w:val="left"/>
        <w:rPr>
          <w:rFonts w:asciiTheme="minorEastAsia" w:hAnsiTheme="minorEastAsia"/>
          <w:sz w:val="52"/>
        </w:rPr>
      </w:pPr>
      <w:r>
        <w:rPr>
          <w:rFonts w:asciiTheme="minorEastAsia" w:hAnsiTheme="minorEastAsia"/>
          <w:sz w:val="52"/>
        </w:rPr>
        <w:br w:type="page"/>
      </w:r>
    </w:p>
    <w:p w14:paraId="0DF4CED7" w14:textId="0FAB21B6" w:rsidR="00086DAA" w:rsidRDefault="005541F6">
      <w:pPr>
        <w:widowControl/>
        <w:jc w:val="center"/>
        <w:rPr>
          <w:rFonts w:asciiTheme="minorEastAsia" w:hAnsiTheme="minorEastAsia"/>
          <w:sz w:val="24"/>
        </w:rPr>
      </w:pPr>
      <w:r>
        <w:rPr>
          <w:rFonts w:asciiTheme="minorEastAsia" w:hAnsiTheme="minorEastAsia"/>
          <w:sz w:val="24"/>
        </w:rPr>
        <w:lastRenderedPageBreak/>
        <w:pict w14:anchorId="74B99C39">
          <v:shape id="_x0000_i1090" type="#_x0000_t75" style="width:482.4pt;height:734.4pt">
            <v:imagedata r:id="rId105" o:title=""/>
          </v:shape>
        </w:pict>
      </w:r>
    </w:p>
    <w:p w14:paraId="03AFC33C" w14:textId="7BC30DE5" w:rsidR="00086DAA" w:rsidRDefault="005541F6">
      <w:pPr>
        <w:widowControl/>
        <w:jc w:val="center"/>
        <w:rPr>
          <w:rFonts w:asciiTheme="minorEastAsia" w:hAnsiTheme="minorEastAsia"/>
          <w:sz w:val="24"/>
        </w:rPr>
      </w:pPr>
      <w:r>
        <w:rPr>
          <w:rFonts w:asciiTheme="minorEastAsia" w:hAnsiTheme="minorEastAsia"/>
          <w:sz w:val="24"/>
        </w:rPr>
        <w:lastRenderedPageBreak/>
        <w:pict w14:anchorId="373B5F48">
          <v:shape id="_x0000_i1088" type="#_x0000_t75" style="width:475.2pt;height:734.4pt">
            <v:imagedata r:id="rId106" o:title=""/>
          </v:shape>
        </w:pict>
      </w:r>
    </w:p>
    <w:p w14:paraId="08E17FF6" w14:textId="6CD8330B" w:rsidR="00086DAA" w:rsidRDefault="005541F6">
      <w:pPr>
        <w:widowControl/>
        <w:jc w:val="center"/>
        <w:rPr>
          <w:rFonts w:asciiTheme="minorEastAsia" w:hAnsiTheme="minorEastAsia"/>
          <w:sz w:val="24"/>
        </w:rPr>
      </w:pPr>
      <w:r>
        <w:rPr>
          <w:rFonts w:asciiTheme="minorEastAsia" w:hAnsiTheme="minorEastAsia"/>
          <w:sz w:val="24"/>
        </w:rPr>
        <w:lastRenderedPageBreak/>
        <w:pict w14:anchorId="45AF302E">
          <v:shape id="_x0000_i1086" type="#_x0000_t75" style="width:475.2pt;height:734.4pt">
            <v:imagedata r:id="rId107" o:title=""/>
          </v:shape>
        </w:pict>
      </w:r>
    </w:p>
    <w:p w14:paraId="4DF6A575" w14:textId="73EA1620" w:rsidR="00086DAA" w:rsidRDefault="005541F6">
      <w:pPr>
        <w:widowControl/>
        <w:jc w:val="center"/>
        <w:rPr>
          <w:rFonts w:asciiTheme="minorEastAsia" w:hAnsiTheme="minorEastAsia"/>
          <w:sz w:val="24"/>
        </w:rPr>
      </w:pPr>
      <w:r>
        <w:rPr>
          <w:rFonts w:asciiTheme="minorEastAsia" w:hAnsiTheme="minorEastAsia"/>
          <w:sz w:val="24"/>
        </w:rPr>
        <w:lastRenderedPageBreak/>
        <w:pict w14:anchorId="44A11D33">
          <v:shape id="_x0000_i1084" type="#_x0000_t75" style="width:482.4pt;height:727.2pt">
            <v:imagedata r:id="rId108" o:title=""/>
          </v:shape>
        </w:pict>
      </w:r>
    </w:p>
    <w:sectPr w:rsidR="00086DAA">
      <w:type w:val="continuous"/>
      <w:pgSz w:w="11906" w:h="16838"/>
      <w:pgMar w:top="1021" w:right="1021" w:bottom="1021" w:left="1021" w:header="851" w:footer="0" w:gutter="0"/>
      <w:pgNumType w:fmt="numberInDash" w:start="35"/>
      <w:cols w:space="720"/>
      <w:titlePg/>
      <w:docGrid w:type="linesAndChars" w:linePitch="328" w:charSpace="-26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EE32A" w14:textId="77777777" w:rsidR="00000000" w:rsidRDefault="005541F6">
      <w:r>
        <w:separator/>
      </w:r>
    </w:p>
  </w:endnote>
  <w:endnote w:type="continuationSeparator" w:id="0">
    <w:p w14:paraId="20F39310" w14:textId="77777777" w:rsidR="00000000" w:rsidRDefault="0055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notTrueType/>
    <w:pitch w:val="variable"/>
    <w:sig w:usb0="00000000" w:usb1="00000000" w:usb2="00000000" w:usb3="00000000" w:csb0="FF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658449"/>
      <w:docPartObj>
        <w:docPartGallery w:val="Page Numbers (Bottom of Page)"/>
        <w:docPartUnique/>
      </w:docPartObj>
    </w:sdtPr>
    <w:sdtEndPr/>
    <w:sdtContent>
      <w:p w14:paraId="0D2387A7" w14:textId="77777777" w:rsidR="00086DAA" w:rsidRDefault="005541F6">
        <w:pPr>
          <w:pStyle w:val="a7"/>
          <w:jc w:val="center"/>
        </w:pPr>
        <w:r>
          <w:rPr>
            <w:rFonts w:hint="eastAsia"/>
          </w:rPr>
          <w:fldChar w:fldCharType="begin"/>
        </w:r>
        <w:r>
          <w:rPr>
            <w:rFonts w:hint="eastAsia"/>
          </w:rPr>
          <w:instrText xml:space="preserve">PAGE  \* MERGEFORMAT </w:instrText>
        </w:r>
        <w:r>
          <w:rPr>
            <w:rFonts w:hint="eastAsia"/>
          </w:rPr>
          <w:fldChar w:fldCharType="separate"/>
        </w:r>
        <w:r>
          <w:t>- 7 -</w:t>
        </w:r>
        <w:r>
          <w:rPr>
            <w:rFonts w:hint="eastAsia"/>
          </w:rPr>
          <w:fldChar w:fldCharType="end"/>
        </w:r>
      </w:p>
    </w:sdtContent>
  </w:sdt>
  <w:p w14:paraId="2717CE36" w14:textId="77777777" w:rsidR="00086DAA" w:rsidRDefault="00086D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5D6C7" w14:textId="77777777" w:rsidR="00000000" w:rsidRDefault="005541F6">
      <w:r>
        <w:separator/>
      </w:r>
    </w:p>
  </w:footnote>
  <w:footnote w:type="continuationSeparator" w:id="0">
    <w:p w14:paraId="6D8C3D5A" w14:textId="77777777" w:rsidR="00000000" w:rsidRDefault="0055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7622AD6"/>
    <w:lvl w:ilvl="0" w:tplc="CEE0ECD6">
      <w:start w:val="1"/>
      <w:numFmt w:val="decimalFullWidth"/>
      <w:lvlText w:val="（%1）"/>
      <w:lvlJc w:val="left"/>
      <w:pPr>
        <w:ind w:left="1146" w:hanging="720"/>
      </w:pPr>
      <w:rPr>
        <w:rFonts w:hint="default"/>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start w:val="1"/>
      <w:numFmt w:val="decimal"/>
      <w:lvlText w:val="%7."/>
      <w:lvlJc w:val="left"/>
      <w:pPr>
        <w:ind w:left="3366" w:hanging="420"/>
      </w:pPr>
    </w:lvl>
    <w:lvl w:ilvl="7" w:tplc="04090017">
      <w:start w:val="1"/>
      <w:numFmt w:val="aiueoFullWidth"/>
      <w:lvlText w:val="(%8)"/>
      <w:lvlJc w:val="left"/>
      <w:pPr>
        <w:ind w:left="3786" w:hanging="420"/>
      </w:pPr>
    </w:lvl>
    <w:lvl w:ilvl="8" w:tplc="04090011">
      <w:start w:val="1"/>
      <w:numFmt w:val="decimalEnclosedCircle"/>
      <w:lvlText w:val="%9"/>
      <w:lvlJc w:val="left"/>
      <w:pPr>
        <w:ind w:left="4206" w:hanging="420"/>
      </w:pPr>
    </w:lvl>
  </w:abstractNum>
  <w:abstractNum w:abstractNumId="1" w15:restartNumberingAfterBreak="0">
    <w:nsid w:val="00000002"/>
    <w:multiLevelType w:val="hybridMultilevel"/>
    <w:tmpl w:val="C2D4F8AC"/>
    <w:lvl w:ilvl="0" w:tplc="759C3EF6">
      <w:start w:val="1"/>
      <w:numFmt w:val="decimalFullWidth"/>
      <w:lvlText w:val="（%1）"/>
      <w:lvlJc w:val="left"/>
      <w:pPr>
        <w:ind w:left="1144" w:hanging="720"/>
      </w:pPr>
      <w:rPr>
        <w:rFonts w:hint="default"/>
      </w:r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2" w15:restartNumberingAfterBreak="0">
    <w:nsid w:val="00000003"/>
    <w:multiLevelType w:val="hybridMultilevel"/>
    <w:tmpl w:val="AFC498A0"/>
    <w:lvl w:ilvl="0" w:tplc="9F6EEA06">
      <w:start w:val="1"/>
      <w:numFmt w:val="decimalFullWidth"/>
      <w:lvlText w:val="（%1）"/>
      <w:lvlJc w:val="left"/>
      <w:pPr>
        <w:ind w:left="1144" w:hanging="720"/>
      </w:pPr>
      <w:rPr>
        <w:rFonts w:hint="default"/>
      </w:r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3" w15:restartNumberingAfterBreak="0">
    <w:nsid w:val="00000004"/>
    <w:multiLevelType w:val="hybridMultilevel"/>
    <w:tmpl w:val="ADA2CADC"/>
    <w:lvl w:ilvl="0" w:tplc="1ECA8BEE">
      <w:start w:val="1"/>
      <w:numFmt w:val="decimalFullWidth"/>
      <w:lvlText w:val="（%1）"/>
      <w:lvlJc w:val="left"/>
      <w:pPr>
        <w:ind w:left="1146" w:hanging="720"/>
      </w:pPr>
      <w:rPr>
        <w:rFonts w:hint="default"/>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start w:val="1"/>
      <w:numFmt w:val="decimal"/>
      <w:lvlText w:val="%7."/>
      <w:lvlJc w:val="left"/>
      <w:pPr>
        <w:ind w:left="3366" w:hanging="420"/>
      </w:pPr>
    </w:lvl>
    <w:lvl w:ilvl="7" w:tplc="04090017">
      <w:start w:val="1"/>
      <w:numFmt w:val="aiueoFullWidth"/>
      <w:lvlText w:val="(%8)"/>
      <w:lvlJc w:val="left"/>
      <w:pPr>
        <w:ind w:left="3786" w:hanging="420"/>
      </w:pPr>
    </w:lvl>
    <w:lvl w:ilvl="8" w:tplc="04090011">
      <w:start w:val="1"/>
      <w:numFmt w:val="decimalEnclosedCircle"/>
      <w:lvlText w:val="%9"/>
      <w:lvlJc w:val="left"/>
      <w:pPr>
        <w:ind w:left="4206" w:hanging="420"/>
      </w:pPr>
    </w:lvl>
  </w:abstractNum>
  <w:abstractNum w:abstractNumId="4" w15:restartNumberingAfterBreak="0">
    <w:nsid w:val="00000005"/>
    <w:multiLevelType w:val="hybridMultilevel"/>
    <w:tmpl w:val="ECD2D8C0"/>
    <w:lvl w:ilvl="0" w:tplc="B2C01CFA">
      <w:start w:val="1"/>
      <w:numFmt w:val="decimalFullWidth"/>
      <w:lvlText w:val="（%1）"/>
      <w:lvlJc w:val="left"/>
      <w:pPr>
        <w:ind w:left="735" w:hanging="735"/>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7"/>
  <w:drawingGridVerticalSpacing w:val="164"/>
  <w:displayHorizontalDrawingGridEvery w:val="0"/>
  <w:displayVerticalDrawingGridEvery w:val="2"/>
  <w:characterSpacingControl w:val="compressPunctuation"/>
  <w:hdrShapeDefaults>
    <o:shapedefaults v:ext="edit" spidmax="207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DAA"/>
    <w:rsid w:val="00086DAA"/>
    <w:rsid w:val="005541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9">
      <v:textbox inset="5.85pt,.7pt,5.85pt,.7pt"/>
    </o:shapedefaults>
    <o:shapelayout v:ext="edit">
      <o:idmap v:ext="edit" data="2"/>
    </o:shapelayout>
  </w:shapeDefaults>
  <w:decimalSymbol w:val="."/>
  <w:listSeparator w:val=","/>
  <w14:docId w14:val="5651A765"/>
  <w15:chartTrackingRefBased/>
  <w15:docId w15:val="{32705E43-7C46-4D99-904E-0F6C8E61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Date"/>
    <w:basedOn w:val="a"/>
    <w:next w:val="a"/>
    <w:link w:val="aa"/>
  </w:style>
  <w:style w:type="character" w:customStyle="1" w:styleId="aa">
    <w:name w:val="日付 (文字)"/>
    <w:basedOn w:val="a0"/>
    <w:link w:val="a9"/>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b">
    <w:name w:val="List Paragraph"/>
    <w:basedOn w:val="a"/>
    <w:qFormat/>
    <w:pPr>
      <w:ind w:leftChars="400" w:left="840"/>
    </w:pPr>
  </w:style>
  <w:style w:type="character" w:styleId="ac">
    <w:name w:val="Hyperlink"/>
    <w:basedOn w:val="a0"/>
    <w:rPr>
      <w:color w:val="0000FF" w:themeColor="hyperlink"/>
      <w:u w:val="single"/>
    </w:rPr>
  </w:style>
  <w:style w:type="paragraph" w:styleId="ad">
    <w:name w:val="No Spacing"/>
    <w:qFormat/>
    <w:pPr>
      <w:widowControl w:val="0"/>
      <w:jc w:val="both"/>
    </w:p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21" Type="http://schemas.openxmlformats.org/officeDocument/2006/relationships/image" Target="media/image2.emf"/><Relationship Id="rId42" Type="http://schemas.openxmlformats.org/officeDocument/2006/relationships/chart" Target="charts/chart20.xml"/><Relationship Id="rId47" Type="http://schemas.openxmlformats.org/officeDocument/2006/relationships/image" Target="media/image10.emf"/><Relationship Id="rId63" Type="http://schemas.openxmlformats.org/officeDocument/2006/relationships/image" Target="media/image15.emf"/><Relationship Id="rId68" Type="http://schemas.openxmlformats.org/officeDocument/2006/relationships/chart" Target="charts/chart35.xml"/><Relationship Id="rId84" Type="http://schemas.openxmlformats.org/officeDocument/2006/relationships/chart" Target="charts/chart45.xml"/><Relationship Id="rId89" Type="http://schemas.openxmlformats.org/officeDocument/2006/relationships/chart" Target="charts/chart49.xml"/><Relationship Id="rId16" Type="http://schemas.openxmlformats.org/officeDocument/2006/relationships/chart" Target="charts/chart6.xml"/><Relationship Id="rId107" Type="http://schemas.openxmlformats.org/officeDocument/2006/relationships/image" Target="media/image31.emf"/><Relationship Id="rId11" Type="http://schemas.openxmlformats.org/officeDocument/2006/relationships/chart" Target="charts/chart4.xml"/><Relationship Id="rId32" Type="http://schemas.openxmlformats.org/officeDocument/2006/relationships/image" Target="media/image6.emf"/><Relationship Id="rId37" Type="http://schemas.openxmlformats.org/officeDocument/2006/relationships/package" Target="embeddings/Microsoft_Excel_Worksheet2.xlsx"/><Relationship Id="rId53" Type="http://schemas.openxmlformats.org/officeDocument/2006/relationships/chart" Target="charts/chart27.xml"/><Relationship Id="rId58" Type="http://schemas.openxmlformats.org/officeDocument/2006/relationships/chart" Target="charts/chart30.xml"/><Relationship Id="rId74" Type="http://schemas.openxmlformats.org/officeDocument/2006/relationships/chart" Target="charts/chart39.xml"/><Relationship Id="rId79" Type="http://schemas.openxmlformats.org/officeDocument/2006/relationships/image" Target="media/image21.emf"/><Relationship Id="rId102" Type="http://schemas.openxmlformats.org/officeDocument/2006/relationships/chart" Target="charts/chart58.xml"/><Relationship Id="rId5" Type="http://schemas.openxmlformats.org/officeDocument/2006/relationships/footnotes" Target="footnotes.xml"/><Relationship Id="rId90" Type="http://schemas.openxmlformats.org/officeDocument/2006/relationships/chart" Target="charts/chart50.xml"/><Relationship Id="rId95" Type="http://schemas.openxmlformats.org/officeDocument/2006/relationships/image" Target="media/image26.emf"/><Relationship Id="rId22" Type="http://schemas.openxmlformats.org/officeDocument/2006/relationships/package" Target="embeddings/Microsoft_Excel_Worksheet1.xlsx"/><Relationship Id="rId27" Type="http://schemas.openxmlformats.org/officeDocument/2006/relationships/image" Target="media/image4.emf"/><Relationship Id="rId43" Type="http://schemas.openxmlformats.org/officeDocument/2006/relationships/chart" Target="charts/chart21.xml"/><Relationship Id="rId48" Type="http://schemas.openxmlformats.org/officeDocument/2006/relationships/chart" Target="charts/chart24.xml"/><Relationship Id="rId64" Type="http://schemas.openxmlformats.org/officeDocument/2006/relationships/image" Target="media/image16.emf"/><Relationship Id="rId69" Type="http://schemas.openxmlformats.org/officeDocument/2006/relationships/chart" Target="charts/chart36.xml"/><Relationship Id="rId80" Type="http://schemas.openxmlformats.org/officeDocument/2006/relationships/chart" Target="charts/chart43.xml"/><Relationship Id="rId85" Type="http://schemas.openxmlformats.org/officeDocument/2006/relationships/image" Target="media/image24.emf"/><Relationship Id="rId12" Type="http://schemas.openxmlformats.org/officeDocument/2006/relationships/hyperlink" Target="H30&#22522;&#26412;&#38598;&#35336;&#12288;&#31179;&#30000;&#30476;&#12398;&#27010;&#35201;.xlsx" TargetMode="External"/><Relationship Id="rId17"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17.xml"/><Relationship Id="rId59" Type="http://schemas.openxmlformats.org/officeDocument/2006/relationships/chart" Target="charts/chart31.xml"/><Relationship Id="rId103" Type="http://schemas.openxmlformats.org/officeDocument/2006/relationships/chart" Target="charts/chart59.xml"/><Relationship Id="rId108" Type="http://schemas.openxmlformats.org/officeDocument/2006/relationships/image" Target="media/image32.emf"/><Relationship Id="rId54" Type="http://schemas.openxmlformats.org/officeDocument/2006/relationships/chart" Target="charts/chart28.xml"/><Relationship Id="rId70" Type="http://schemas.openxmlformats.org/officeDocument/2006/relationships/chart" Target="charts/chart37.xml"/><Relationship Id="rId75" Type="http://schemas.openxmlformats.org/officeDocument/2006/relationships/image" Target="media/image20.emf"/><Relationship Id="rId91" Type="http://schemas.openxmlformats.org/officeDocument/2006/relationships/chart" Target="charts/chart51.xml"/><Relationship Id="rId96" Type="http://schemas.openxmlformats.org/officeDocument/2006/relationships/chart" Target="charts/chart5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hyperlink" Target="file:///\\akitasv01\&#35519;&#26619;&#32113;&#35336;&#35506;\005%20&#29983;&#27963;&#32113;&#35336;&#29677;\03%20&#20154;&#21475;&#12539;&#25945;&#32946;&#12539;&#21172;&#20685;&#12539;&#20303;&#23429;\53&#20303;&#23429;&#12539;&#22303;&#22320;&#32113;&#35336;&#35519;&#26619;\&#65320;&#65299;&#65297;\04%20&#31179;&#30000;&#30476;&#12398;&#27010;&#35201;(&#22522;&#26412;&#38598;&#35336;&#31561;)\H30&#22522;&#26412;&#38598;&#35336;&#12288;&#31179;&#30000;&#30476;&#12398;&#27010;&#35201;.xlsx" TargetMode="External"/><Relationship Id="rId28" Type="http://schemas.openxmlformats.org/officeDocument/2006/relationships/image" Target="media/image5.emf"/><Relationship Id="rId36" Type="http://schemas.openxmlformats.org/officeDocument/2006/relationships/image" Target="media/image7.emf"/><Relationship Id="rId49" Type="http://schemas.openxmlformats.org/officeDocument/2006/relationships/image" Target="media/image11.emf"/><Relationship Id="rId57" Type="http://schemas.openxmlformats.org/officeDocument/2006/relationships/chart" Target="charts/chart29.xml"/><Relationship Id="rId106" Type="http://schemas.openxmlformats.org/officeDocument/2006/relationships/image" Target="media/image30.emf"/><Relationship Id="rId10" Type="http://schemas.openxmlformats.org/officeDocument/2006/relationships/chart" Target="charts/chart3.xml"/><Relationship Id="rId31" Type="http://schemas.openxmlformats.org/officeDocument/2006/relationships/chart" Target="charts/chart14.xml"/><Relationship Id="rId44" Type="http://schemas.openxmlformats.org/officeDocument/2006/relationships/image" Target="media/image9.emf"/><Relationship Id="rId52" Type="http://schemas.openxmlformats.org/officeDocument/2006/relationships/image" Target="media/image12.emf"/><Relationship Id="rId60" Type="http://schemas.openxmlformats.org/officeDocument/2006/relationships/image" Target="media/image14.emf"/><Relationship Id="rId65" Type="http://schemas.openxmlformats.org/officeDocument/2006/relationships/chart" Target="charts/chart33.xml"/><Relationship Id="rId73" Type="http://schemas.openxmlformats.org/officeDocument/2006/relationships/image" Target="media/image19.emf"/><Relationship Id="rId78" Type="http://schemas.openxmlformats.org/officeDocument/2006/relationships/chart" Target="charts/chart42.xml"/><Relationship Id="rId81" Type="http://schemas.openxmlformats.org/officeDocument/2006/relationships/image" Target="media/image22.emf"/><Relationship Id="rId86" Type="http://schemas.openxmlformats.org/officeDocument/2006/relationships/chart" Target="charts/chart46.xml"/><Relationship Id="rId94" Type="http://schemas.openxmlformats.org/officeDocument/2006/relationships/chart" Target="charts/chart53.xml"/><Relationship Id="rId99" Type="http://schemas.openxmlformats.org/officeDocument/2006/relationships/chart" Target="charts/chart56.xml"/><Relationship Id="rId101" Type="http://schemas.openxmlformats.org/officeDocument/2006/relationships/image" Target="media/image28.emf"/><Relationship Id="rId4" Type="http://schemas.openxmlformats.org/officeDocument/2006/relationships/webSettings" Target="webSettings.xml"/><Relationship Id="rId9" Type="http://schemas.openxmlformats.org/officeDocument/2006/relationships/chart" Target="charts/chart2.xml"/><Relationship Id="rId13" Type="http://schemas.openxmlformats.org/officeDocument/2006/relationships/image" Target="media/image1.emf"/><Relationship Id="rId18" Type="http://schemas.openxmlformats.org/officeDocument/2006/relationships/chart" Target="charts/chart8.xml"/><Relationship Id="rId39" Type="http://schemas.openxmlformats.org/officeDocument/2006/relationships/chart" Target="charts/chart18.xml"/><Relationship Id="rId109" Type="http://schemas.openxmlformats.org/officeDocument/2006/relationships/fontTable" Target="fontTable.xml"/><Relationship Id="rId34" Type="http://schemas.openxmlformats.org/officeDocument/2006/relationships/chart" Target="charts/chart16.xml"/><Relationship Id="rId50" Type="http://schemas.openxmlformats.org/officeDocument/2006/relationships/chart" Target="charts/chart25.xml"/><Relationship Id="rId55" Type="http://schemas.openxmlformats.org/officeDocument/2006/relationships/hyperlink" Target="H30&#22522;&#26412;&#38598;&#35336;&#12288;&#31179;&#30000;&#30476;&#12398;&#27010;&#35201;.xlsx" TargetMode="External"/><Relationship Id="rId76" Type="http://schemas.openxmlformats.org/officeDocument/2006/relationships/chart" Target="charts/chart40.xml"/><Relationship Id="rId97" Type="http://schemas.openxmlformats.org/officeDocument/2006/relationships/chart" Target="charts/chart55.xml"/><Relationship Id="rId104" Type="http://schemas.openxmlformats.org/officeDocument/2006/relationships/footer" Target="footer1.xml"/><Relationship Id="rId7" Type="http://schemas.openxmlformats.org/officeDocument/2006/relationships/hyperlink" Target="http://www.stat.go.jp/data/jyutaku/index.html" TargetMode="External"/><Relationship Id="rId71" Type="http://schemas.openxmlformats.org/officeDocument/2006/relationships/image" Target="media/image18.emf"/><Relationship Id="rId92" Type="http://schemas.openxmlformats.org/officeDocument/2006/relationships/image" Target="media/image25.emf"/><Relationship Id="rId2" Type="http://schemas.openxmlformats.org/officeDocument/2006/relationships/styles" Target="styles.xml"/><Relationship Id="rId29" Type="http://schemas.openxmlformats.org/officeDocument/2006/relationships/chart" Target="charts/chart12.xml"/><Relationship Id="rId24" Type="http://schemas.openxmlformats.org/officeDocument/2006/relationships/image" Target="media/image3.emf"/><Relationship Id="rId40" Type="http://schemas.openxmlformats.org/officeDocument/2006/relationships/chart" Target="charts/chart19.xml"/><Relationship Id="rId45" Type="http://schemas.openxmlformats.org/officeDocument/2006/relationships/chart" Target="charts/chart22.xml"/><Relationship Id="rId66" Type="http://schemas.openxmlformats.org/officeDocument/2006/relationships/chart" Target="charts/chart34.xml"/><Relationship Id="rId87" Type="http://schemas.openxmlformats.org/officeDocument/2006/relationships/chart" Target="charts/chart47.xml"/><Relationship Id="rId110" Type="http://schemas.openxmlformats.org/officeDocument/2006/relationships/theme" Target="theme/theme1.xml"/><Relationship Id="rId61" Type="http://schemas.openxmlformats.org/officeDocument/2006/relationships/chart" Target="charts/chart32.xml"/><Relationship Id="rId82" Type="http://schemas.openxmlformats.org/officeDocument/2006/relationships/chart" Target="charts/chart44.xml"/><Relationship Id="rId19" Type="http://schemas.openxmlformats.org/officeDocument/2006/relationships/chart" Target="charts/chart9.xml"/><Relationship Id="rId14" Type="http://schemas.openxmlformats.org/officeDocument/2006/relationships/package" Target="embeddings/Microsoft_Excel_Worksheet.xlsx"/><Relationship Id="rId30" Type="http://schemas.openxmlformats.org/officeDocument/2006/relationships/chart" Target="charts/chart13.xml"/><Relationship Id="rId35" Type="http://schemas.openxmlformats.org/officeDocument/2006/relationships/hyperlink" Target="H30&#22522;&#26412;&#38598;&#35336;&#12288;&#31179;&#30000;&#30476;&#12398;&#27010;&#35201;.xlsx" TargetMode="External"/><Relationship Id="rId56" Type="http://schemas.openxmlformats.org/officeDocument/2006/relationships/image" Target="media/image13.emf"/><Relationship Id="rId77" Type="http://schemas.openxmlformats.org/officeDocument/2006/relationships/chart" Target="charts/chart41.xml"/><Relationship Id="rId100" Type="http://schemas.openxmlformats.org/officeDocument/2006/relationships/chart" Target="charts/chart57.xml"/><Relationship Id="rId105" Type="http://schemas.openxmlformats.org/officeDocument/2006/relationships/image" Target="media/image29.emf"/><Relationship Id="rId8" Type="http://schemas.openxmlformats.org/officeDocument/2006/relationships/chart" Target="charts/chart1.xml"/><Relationship Id="rId51" Type="http://schemas.openxmlformats.org/officeDocument/2006/relationships/chart" Target="charts/chart26.xml"/><Relationship Id="rId72" Type="http://schemas.openxmlformats.org/officeDocument/2006/relationships/chart" Target="charts/chart38.xml"/><Relationship Id="rId93" Type="http://schemas.openxmlformats.org/officeDocument/2006/relationships/chart" Target="charts/chart52.xml"/><Relationship Id="rId98" Type="http://schemas.openxmlformats.org/officeDocument/2006/relationships/image" Target="media/image27.emf"/><Relationship Id="rId3" Type="http://schemas.openxmlformats.org/officeDocument/2006/relationships/settings" Target="settings.xml"/><Relationship Id="rId25" Type="http://schemas.openxmlformats.org/officeDocument/2006/relationships/chart" Target="charts/chart10.xml"/><Relationship Id="rId46" Type="http://schemas.openxmlformats.org/officeDocument/2006/relationships/chart" Target="charts/chart23.xml"/><Relationship Id="rId67" Type="http://schemas.openxmlformats.org/officeDocument/2006/relationships/image" Target="media/image17.emf"/><Relationship Id="rId20" Type="http://schemas.openxmlformats.org/officeDocument/2006/relationships/hyperlink" Target="H30&#22522;&#26412;&#38598;&#35336;&#12288;&#31179;&#30000;&#30476;&#12398;&#27010;&#35201;.xlsx" TargetMode="External"/><Relationship Id="rId41" Type="http://schemas.openxmlformats.org/officeDocument/2006/relationships/image" Target="media/image8.emf"/><Relationship Id="rId62" Type="http://schemas.openxmlformats.org/officeDocument/2006/relationships/hyperlink" Target="H30&#22522;&#26412;&#38598;&#35336;&#12288;&#31179;&#30000;&#30476;&#12398;&#27010;&#35201;.xlsx" TargetMode="External"/><Relationship Id="rId83" Type="http://schemas.openxmlformats.org/officeDocument/2006/relationships/image" Target="media/image23.emf"/><Relationship Id="rId88" Type="http://schemas.openxmlformats.org/officeDocument/2006/relationships/chart" Target="charts/chart48.xm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9.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NULL" TargetMode="External"/></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NULL"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3.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NULL"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NULL" TargetMode="External"/></Relationships>
</file>

<file path=word/charts/_rels/chart51.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oleObject" Target="NULL" TargetMode="External"/></Relationships>
</file>

<file path=word/charts/_rels/chart52.xml.rels><?xml version="1.0" encoding="UTF-8" standalone="yes"?>
<Relationships xmlns="http://schemas.openxmlformats.org/package/2006/relationships"><Relationship Id="rId2" Type="http://schemas.openxmlformats.org/officeDocument/2006/relationships/chartUserShapes" Target="../drawings/drawing24.xml"/><Relationship Id="rId1" Type="http://schemas.openxmlformats.org/officeDocument/2006/relationships/oleObject" Target="NULL" TargetMode="External"/></Relationships>
</file>

<file path=word/charts/_rels/chart53.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NULL" TargetMode="External"/></Relationships>
</file>

<file path=word/charts/_rels/chart54.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oleObject" Target="NULL" TargetMode="External"/></Relationships>
</file>

<file path=word/charts/_rels/chart55.xml.rels><?xml version="1.0" encoding="UTF-8" standalone="yes"?>
<Relationships xmlns="http://schemas.openxmlformats.org/package/2006/relationships"><Relationship Id="rId2" Type="http://schemas.openxmlformats.org/officeDocument/2006/relationships/chartUserShapes" Target="../drawings/drawing27.xml"/><Relationship Id="rId1" Type="http://schemas.openxmlformats.org/officeDocument/2006/relationships/oleObject" Target="NULL"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8.xml.rels><?xml version="1.0" encoding="UTF-8" standalone="yes"?>
<Relationships xmlns="http://schemas.openxmlformats.org/package/2006/relationships"><Relationship Id="rId2" Type="http://schemas.openxmlformats.org/officeDocument/2006/relationships/chartUserShapes" Target="../drawings/drawing28.xml"/><Relationship Id="rId1" Type="http://schemas.openxmlformats.org/officeDocument/2006/relationships/oleObject" Target="NULL" TargetMode="External"/></Relationships>
</file>

<file path=word/charts/_rels/chart59.xml.rels><?xml version="1.0" encoding="UTF-8" standalone="yes"?>
<Relationships xmlns="http://schemas.openxmlformats.org/package/2006/relationships"><Relationship Id="rId2" Type="http://schemas.openxmlformats.org/officeDocument/2006/relationships/chartUserShapes" Target="../drawings/drawing29.xml"/><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800" i="0" u="none" strike="noStrike" baseline="0">
                <a:solidFill>
                  <a:schemeClr val="tx1"/>
                </a:solidFill>
              </a:defRPr>
            </a:pPr>
            <a:r>
              <a:rPr lang="ja-JP" altLang="en-US" sz="800" b="1" i="0" u="none" strike="noStrike" baseline="0">
                <a:solidFill>
                  <a:schemeClr val="tx1"/>
                </a:solidFill>
              </a:rPr>
              <a:t>総住宅数、空き家数及び空き家率の推移</a:t>
            </a:r>
            <a:endParaRPr lang="en-US" altLang="ja-JP" sz="800" b="1" i="0" u="none" strike="noStrike" baseline="0">
              <a:solidFill>
                <a:schemeClr val="tx1"/>
              </a:solidFill>
            </a:endParaRPr>
          </a:p>
          <a:p>
            <a:pPr algn="ctr" rtl="0">
              <a:defRPr sz="800" i="0" u="none" strike="noStrike" baseline="0">
                <a:solidFill>
                  <a:schemeClr val="tx1"/>
                </a:solidFill>
              </a:defRPr>
            </a:pPr>
            <a:r>
              <a:rPr lang="ja-JP" altLang="en-US" sz="800" b="1" i="0" u="none" strike="noStrike" baseline="0">
                <a:solidFill>
                  <a:schemeClr val="tx1"/>
                </a:solidFill>
              </a:rPr>
              <a:t>－秋田県（昭和</a:t>
            </a:r>
            <a:r>
              <a:rPr lang="en-US" altLang="ja-JP" sz="800" b="1" i="0" u="none" strike="noStrike" baseline="0">
                <a:solidFill>
                  <a:schemeClr val="tx1"/>
                </a:solidFill>
                <a:latin typeface="ＭＳ ゴシック"/>
                <a:ea typeface="ＭＳ ゴシック"/>
              </a:rPr>
              <a:t>63</a:t>
            </a:r>
            <a:r>
              <a:rPr lang="ja-JP" altLang="en-US" sz="800" b="1" i="0" u="none" strike="noStrike" baseline="0">
                <a:solidFill>
                  <a:schemeClr val="tx1"/>
                </a:solidFill>
              </a:rPr>
              <a:t>年～平成</a:t>
            </a:r>
            <a:r>
              <a:rPr lang="en-US" altLang="ja-JP" sz="800" b="1" i="0" u="none" strike="noStrike" baseline="0">
                <a:solidFill>
                  <a:schemeClr val="tx1"/>
                </a:solidFill>
                <a:latin typeface="ＭＳ ゴシック"/>
                <a:ea typeface="ＭＳ ゴシック"/>
              </a:rPr>
              <a:t>30</a:t>
            </a:r>
            <a:r>
              <a:rPr lang="ja-JP" altLang="en-US" sz="800" b="1" i="0" u="none" strike="noStrike" baseline="0">
                <a:solidFill>
                  <a:schemeClr val="tx1"/>
                </a:solidFill>
              </a:rPr>
              <a:t>年）</a:t>
            </a:r>
          </a:p>
        </c:rich>
      </c:tx>
      <c:layout>
        <c:manualLayout>
          <c:xMode val="edge"/>
          <c:yMode val="edge"/>
          <c:x val="0.2534221683827983"/>
          <c:y val="5.9188117180419709E-3"/>
        </c:manualLayout>
      </c:layout>
      <c:overlay val="0"/>
    </c:title>
    <c:autoTitleDeleted val="0"/>
    <c:plotArea>
      <c:layout>
        <c:manualLayout>
          <c:layoutTarget val="inner"/>
          <c:xMode val="edge"/>
          <c:yMode val="edge"/>
          <c:x val="0.1004050743657043"/>
          <c:y val="0.20260823918749288"/>
          <c:w val="0.80650918635170599"/>
          <c:h val="0.56395572292593865"/>
        </c:manualLayout>
      </c:layout>
      <c:barChart>
        <c:barDir val="col"/>
        <c:grouping val="clustered"/>
        <c:varyColors val="0"/>
        <c:ser>
          <c:idx val="0"/>
          <c:order val="0"/>
          <c:tx>
            <c:strRef>
              <c:f>要約掲載図表!$A$3</c:f>
              <c:strCache>
                <c:ptCount val="1"/>
                <c:pt idx="0">
                  <c:v>総住宅数
（左目盛り）</c:v>
                </c:pt>
              </c:strCache>
            </c:strRef>
          </c:tx>
          <c:spPr>
            <a:pattFill prst="pct20">
              <a:fgClr>
                <a:srgbClr val="4BACC6"/>
              </a:fgClr>
              <a:bgClr>
                <a:sysClr val="window" lastClr="FFFFFF"/>
              </a:bgClr>
            </a:pattFill>
            <a:ln>
              <a:solidFill>
                <a:schemeClr val="tx1"/>
              </a:solidFill>
            </a:ln>
          </c:spPr>
          <c:invertIfNegative val="0"/>
          <c:cat>
            <c:strRef>
              <c:f>要約掲載図表!$B$2:$H$2</c:f>
              <c:strCache>
                <c:ptCount val="7"/>
                <c:pt idx="0">
                  <c:v>昭和63年</c:v>
                </c:pt>
                <c:pt idx="1">
                  <c:v>平成5年</c:v>
                </c:pt>
                <c:pt idx="2">
                  <c:v>10年</c:v>
                </c:pt>
                <c:pt idx="3">
                  <c:v>15年</c:v>
                </c:pt>
                <c:pt idx="4">
                  <c:v>20年</c:v>
                </c:pt>
                <c:pt idx="5">
                  <c:v>25年</c:v>
                </c:pt>
                <c:pt idx="6">
                  <c:v>30年</c:v>
                </c:pt>
              </c:strCache>
            </c:strRef>
          </c:cat>
          <c:val>
            <c:numRef>
              <c:f>要約掲載図表!$B$3:$H$3</c:f>
              <c:numCache>
                <c:formatCode>General</c:formatCode>
                <c:ptCount val="7"/>
                <c:pt idx="0">
                  <c:v>369.4</c:v>
                </c:pt>
                <c:pt idx="1">
                  <c:v>383.4</c:v>
                </c:pt>
                <c:pt idx="2">
                  <c:v>413.3</c:v>
                </c:pt>
                <c:pt idx="3">
                  <c:v>428.6</c:v>
                </c:pt>
                <c:pt idx="4">
                  <c:v>437.4</c:v>
                </c:pt>
                <c:pt idx="5">
                  <c:v>446.9</c:v>
                </c:pt>
                <c:pt idx="6">
                  <c:v>445.7</c:v>
                </c:pt>
              </c:numCache>
            </c:numRef>
          </c:val>
          <c:extLst>
            <c:ext xmlns:c16="http://schemas.microsoft.com/office/drawing/2014/chart" uri="{C3380CC4-5D6E-409C-BE32-E72D297353CC}">
              <c16:uniqueId val="{00000000-FC50-42F3-AE57-D68472435D69}"/>
            </c:ext>
          </c:extLst>
        </c:ser>
        <c:ser>
          <c:idx val="1"/>
          <c:order val="1"/>
          <c:tx>
            <c:strRef>
              <c:f>要約掲載図表!$A$4</c:f>
              <c:strCache>
                <c:ptCount val="1"/>
                <c:pt idx="0">
                  <c:v>空き家数
（左目盛り）</c:v>
                </c:pt>
              </c:strCache>
            </c:strRef>
          </c:tx>
          <c:spPr>
            <a:pattFill prst="dkUpDiag">
              <a:fgClr>
                <a:srgbClr val="4BACC6"/>
              </a:fgClr>
              <a:bgClr>
                <a:sysClr val="window" lastClr="FFFFFF"/>
              </a:bgClr>
            </a:pattFill>
            <a:ln>
              <a:solidFill>
                <a:schemeClr val="tx1"/>
              </a:solidFill>
            </a:ln>
          </c:spPr>
          <c:invertIfNegative val="0"/>
          <c:cat>
            <c:strRef>
              <c:f>要約掲載図表!$B$2:$H$2</c:f>
              <c:strCache>
                <c:ptCount val="7"/>
                <c:pt idx="0">
                  <c:v>昭和63年</c:v>
                </c:pt>
                <c:pt idx="1">
                  <c:v>平成5年</c:v>
                </c:pt>
                <c:pt idx="2">
                  <c:v>10年</c:v>
                </c:pt>
                <c:pt idx="3">
                  <c:v>15年</c:v>
                </c:pt>
                <c:pt idx="4">
                  <c:v>20年</c:v>
                </c:pt>
                <c:pt idx="5">
                  <c:v>25年</c:v>
                </c:pt>
                <c:pt idx="6">
                  <c:v>30年</c:v>
                </c:pt>
              </c:strCache>
            </c:strRef>
          </c:cat>
          <c:val>
            <c:numRef>
              <c:f>要約掲載図表!$B$4:$H$4</c:f>
              <c:numCache>
                <c:formatCode>General</c:formatCode>
                <c:ptCount val="7"/>
                <c:pt idx="0">
                  <c:v>27.8</c:v>
                </c:pt>
                <c:pt idx="1">
                  <c:v>29.3</c:v>
                </c:pt>
                <c:pt idx="2">
                  <c:v>37.200000000000003</c:v>
                </c:pt>
                <c:pt idx="3">
                  <c:v>44.2</c:v>
                </c:pt>
                <c:pt idx="4">
                  <c:v>55.3</c:v>
                </c:pt>
                <c:pt idx="5">
                  <c:v>56.6</c:v>
                </c:pt>
                <c:pt idx="6">
                  <c:v>60.8</c:v>
                </c:pt>
              </c:numCache>
            </c:numRef>
          </c:val>
          <c:extLst>
            <c:ext xmlns:c16="http://schemas.microsoft.com/office/drawing/2014/chart" uri="{C3380CC4-5D6E-409C-BE32-E72D297353CC}">
              <c16:uniqueId val="{00000001-FC50-42F3-AE57-D68472435D69}"/>
            </c:ext>
          </c:extLst>
        </c:ser>
        <c:dLbls>
          <c:showLegendKey val="0"/>
          <c:showVal val="0"/>
          <c:showCatName val="0"/>
          <c:showSerName val="0"/>
          <c:showPercent val="0"/>
          <c:showBubbleSize val="0"/>
        </c:dLbls>
        <c:gapWidth val="150"/>
        <c:axId val="1"/>
        <c:axId val="2"/>
      </c:barChart>
      <c:lineChart>
        <c:grouping val="standard"/>
        <c:varyColors val="0"/>
        <c:ser>
          <c:idx val="2"/>
          <c:order val="2"/>
          <c:tx>
            <c:strRef>
              <c:f>要約掲載図表!$A$5</c:f>
              <c:strCache>
                <c:ptCount val="1"/>
                <c:pt idx="0">
                  <c:v>空き家率
（右目盛り）</c:v>
                </c:pt>
              </c:strCache>
            </c:strRef>
          </c:tx>
          <c:spPr>
            <a:ln w="9525">
              <a:solidFill>
                <a:sysClr val="windowText" lastClr="000000"/>
              </a:solidFill>
            </a:ln>
          </c:spPr>
          <c:marker>
            <c:symbol val="triangle"/>
            <c:size val="7"/>
            <c:spPr>
              <a:solidFill>
                <a:schemeClr val="tx1"/>
              </a:solidFill>
              <a:ln>
                <a:solidFill>
                  <a:srgbClr val="4BACC6"/>
                </a:solidFill>
              </a:ln>
            </c:spPr>
          </c:marker>
          <c:cat>
            <c:strRef>
              <c:f>要約掲載図表!$B$2:$H$2</c:f>
              <c:strCache>
                <c:ptCount val="7"/>
                <c:pt idx="0">
                  <c:v>昭和63年</c:v>
                </c:pt>
                <c:pt idx="1">
                  <c:v>平成5年</c:v>
                </c:pt>
                <c:pt idx="2">
                  <c:v>10年</c:v>
                </c:pt>
                <c:pt idx="3">
                  <c:v>15年</c:v>
                </c:pt>
                <c:pt idx="4">
                  <c:v>20年</c:v>
                </c:pt>
                <c:pt idx="5">
                  <c:v>25年</c:v>
                </c:pt>
                <c:pt idx="6">
                  <c:v>30年</c:v>
                </c:pt>
              </c:strCache>
            </c:strRef>
          </c:cat>
          <c:val>
            <c:numRef>
              <c:f>要約掲載図表!$B$5:$H$5</c:f>
              <c:numCache>
                <c:formatCode>0.0</c:formatCode>
                <c:ptCount val="7"/>
                <c:pt idx="0">
                  <c:v>7.5257173795343801</c:v>
                </c:pt>
                <c:pt idx="1">
                  <c:v>7.6421491914449664</c:v>
                </c:pt>
                <c:pt idx="2">
                  <c:v>9.0007258649891124</c:v>
                </c:pt>
                <c:pt idx="3">
                  <c:v>10.312645823611758</c:v>
                </c:pt>
                <c:pt idx="4">
                  <c:v>12.64288980338363</c:v>
                </c:pt>
                <c:pt idx="5">
                  <c:v>12.665025732826136</c:v>
                </c:pt>
                <c:pt idx="6">
                  <c:v>13.641462799999999</c:v>
                </c:pt>
              </c:numCache>
            </c:numRef>
          </c:val>
          <c:smooth val="0"/>
          <c:extLst>
            <c:ext xmlns:c16="http://schemas.microsoft.com/office/drawing/2014/chart" uri="{C3380CC4-5D6E-409C-BE32-E72D297353CC}">
              <c16:uniqueId val="{00000002-FC50-42F3-AE57-D68472435D69}"/>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0"/>
        <c:majorTickMark val="none"/>
        <c:minorTickMark val="none"/>
        <c:tickLblPos val="nextTo"/>
        <c:spPr>
          <a:ln>
            <a:solidFill>
              <a:schemeClr val="tx1"/>
            </a:solidFill>
          </a:ln>
        </c:spPr>
        <c:txPr>
          <a:bodyPr horzOverflow="overflow" anchor="ctr" anchorCtr="1"/>
          <a:lstStyle/>
          <a:p>
            <a:pPr algn="ctr" rtl="0">
              <a:defRPr sz="800">
                <a:solidFill>
                  <a:schemeClr val="tx1"/>
                </a:solidFill>
              </a:defRPr>
            </a:pPr>
            <a:endParaRPr lang="ja-JP"/>
          </a:p>
        </c:txPr>
        <c:crossAx val="2"/>
        <c:crosses val="autoZero"/>
        <c:auto val="1"/>
        <c:lblAlgn val="ctr"/>
        <c:lblOffset val="100"/>
        <c:noMultiLvlLbl val="0"/>
      </c:catAx>
      <c:valAx>
        <c:axId val="2"/>
        <c:scaling>
          <c:orientation val="minMax"/>
        </c:scaling>
        <c:delete val="0"/>
        <c:axPos val="l"/>
        <c:majorGridlines/>
        <c:title>
          <c:tx>
            <c:rich>
              <a:bodyPr rot="0" horzOverflow="overflow" anchor="ctr" anchorCtr="1"/>
              <a:lstStyle/>
              <a:p>
                <a:pPr algn="ctr" rtl="0">
                  <a:defRPr sz="800" i="0" u="none" strike="noStrike" baseline="0">
                    <a:solidFill>
                      <a:schemeClr val="tx1"/>
                    </a:solidFill>
                  </a:defRPr>
                </a:pPr>
                <a:r>
                  <a:rPr lang="ja-JP" altLang="en-US" sz="800" b="1" i="0" u="none" strike="noStrike" baseline="0">
                    <a:solidFill>
                      <a:schemeClr val="tx1"/>
                    </a:solidFill>
                  </a:rPr>
                  <a:t>（千戸）</a:t>
                </a:r>
              </a:p>
            </c:rich>
          </c:tx>
          <c:layout>
            <c:manualLayout>
              <c:xMode val="edge"/>
              <c:yMode val="edge"/>
              <c:x val="1.4545225116091258E-2"/>
              <c:y val="8.1772536280498576E-2"/>
            </c:manualLayout>
          </c:layout>
          <c:overlay val="0"/>
        </c:title>
        <c:numFmt formatCode="General" sourceLinked="1"/>
        <c:majorTickMark val="none"/>
        <c:minorTickMark val="none"/>
        <c:tickLblPos val="nextTo"/>
        <c:txPr>
          <a:bodyPr horzOverflow="overflow" anchor="ctr" anchorCtr="1"/>
          <a:lstStyle/>
          <a:p>
            <a:pPr algn="ctr" rtl="0">
              <a:defRPr sz="900">
                <a:solidFill>
                  <a:schemeClr val="tx1"/>
                </a:solidFill>
              </a:defRPr>
            </a:pPr>
            <a:endParaRPr lang="ja-JP"/>
          </a:p>
        </c:txPr>
        <c:crossAx val="1"/>
        <c:crosses val="autoZero"/>
        <c:crossBetween val="between"/>
        <c:majorUnit val="100"/>
      </c:valAx>
      <c:catAx>
        <c:axId val="11"/>
        <c:scaling>
          <c:orientation val="minMax"/>
        </c:scaling>
        <c:delete val="1"/>
        <c:axPos val="b"/>
        <c:title>
          <c:tx>
            <c:rich>
              <a:bodyPr horzOverflow="overflow" anchor="ctr" anchorCtr="1"/>
              <a:lstStyle/>
              <a:p>
                <a:pPr algn="ctr" rtl="0">
                  <a:defRPr sz="700" i="0" u="none" strike="noStrike" baseline="0">
                    <a:solidFill>
                      <a:schemeClr val="tx1"/>
                    </a:solidFill>
                  </a:defRPr>
                </a:pPr>
                <a:r>
                  <a:rPr lang="ja-JP" altLang="en-US" sz="700" b="1" i="0" u="none" strike="noStrike" baseline="0">
                    <a:solidFill>
                      <a:schemeClr val="tx1"/>
                    </a:solidFill>
                  </a:rPr>
                  <a:t>（％）</a:t>
                </a:r>
              </a:p>
            </c:rich>
          </c:tx>
          <c:layout>
            <c:manualLayout>
              <c:xMode val="edge"/>
              <c:yMode val="edge"/>
              <c:x val="0.917971683827983"/>
              <c:y val="0.10381648482280523"/>
            </c:manualLayout>
          </c:layout>
          <c:overlay val="0"/>
        </c:title>
        <c:numFmt formatCode="General" sourceLinked="1"/>
        <c:majorTickMark val="out"/>
        <c:minorTickMark val="none"/>
        <c:tickLblPos val="nextTo"/>
        <c:crossAx val="12"/>
        <c:crosses val="autoZero"/>
        <c:auto val="1"/>
        <c:lblAlgn val="ctr"/>
        <c:lblOffset val="100"/>
        <c:noMultiLvlLbl val="0"/>
      </c:catAx>
      <c:valAx>
        <c:axId val="12"/>
        <c:scaling>
          <c:orientation val="minMax"/>
          <c:max val="20"/>
        </c:scaling>
        <c:delete val="0"/>
        <c:axPos val="r"/>
        <c:numFmt formatCode="0.0" sourceLinked="1"/>
        <c:majorTickMark val="in"/>
        <c:minorTickMark val="none"/>
        <c:tickLblPos val="nextTo"/>
        <c:txPr>
          <a:bodyPr horzOverflow="overflow" anchor="ctr" anchorCtr="1"/>
          <a:lstStyle/>
          <a:p>
            <a:pPr algn="ctr" rtl="0">
              <a:defRPr sz="900">
                <a:solidFill>
                  <a:schemeClr val="tx1"/>
                </a:solidFill>
              </a:defRPr>
            </a:pPr>
            <a:endParaRPr lang="ja-JP"/>
          </a:p>
        </c:txPr>
        <c:crossAx val="11"/>
        <c:crosses val="max"/>
        <c:crossBetween val="between"/>
        <c:majorUnit val="4"/>
      </c:valAx>
      <c:spPr>
        <a:ln>
          <a:solidFill>
            <a:schemeClr val="tx1"/>
          </a:solidFill>
        </a:ln>
      </c:spPr>
    </c:plotArea>
    <c:legend>
      <c:legendPos val="b"/>
      <c:layout>
        <c:manualLayout>
          <c:xMode val="edge"/>
          <c:yMode val="edge"/>
          <c:x val="0.19015004374453193"/>
          <c:y val="0.86882108486439191"/>
          <c:w val="0.6396902322693534"/>
          <c:h val="0.12576917574380692"/>
        </c:manualLayout>
      </c:layout>
      <c:overlay val="0"/>
      <c:txPr>
        <a:bodyPr horzOverflow="overflow" anchor="ctr" anchorCtr="1"/>
        <a:lstStyle/>
        <a:p>
          <a:pPr algn="l" rtl="0">
            <a:defRPr sz="700">
              <a:solidFill>
                <a:schemeClr val="tx1"/>
              </a:solidFill>
            </a:defRPr>
          </a:pPr>
          <a:endParaRPr lang="ja-JP"/>
        </a:p>
      </c:txPr>
    </c:legend>
    <c:plotVisOnly val="1"/>
    <c:dispBlanksAs val="gap"/>
    <c:showDLblsOverMax val="0"/>
  </c:chart>
  <c:txPr>
    <a:bodyPr anchor="ctr" anchorCtr="1"/>
    <a:lstStyle/>
    <a:p>
      <a:pPr algn="ctr" rtl="0">
        <a:defRPr lang="ja-JP" altLang="en-US" sz="1000">
          <a:solidFill>
            <a:schemeClr val="tx1"/>
          </a:solidFill>
        </a:defRPr>
      </a:pPr>
      <a:endParaRPr lang="ja-JP"/>
    </a:p>
  </c:txPr>
  <c:externalData r:id="rId2">
    <c:autoUpdate val="0"/>
  </c:externalData>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horzOverflow="overflow" anchor="ctr" anchorCtr="1"/>
          <a:lstStyle/>
          <a:p>
            <a:pPr algn="ctr" rtl="0">
              <a:defRPr sz="800" i="0" u="none" strike="noStrike" baseline="0">
                <a:solidFill>
                  <a:schemeClr val="tx1"/>
                </a:solidFill>
              </a:defRPr>
            </a:pPr>
            <a:r>
              <a:rPr lang="ja-JP" altLang="en-US" sz="800" b="1" i="0" u="none" strike="noStrike" baseline="0">
                <a:solidFill>
                  <a:schemeClr val="tx1"/>
                </a:solidFill>
                <a:latin typeface="+mj-ea"/>
                <a:ea typeface="+mj-ea"/>
              </a:rPr>
              <a:t>図１－２　都道府県別総住宅数の増減率（平成</a:t>
            </a:r>
            <a:r>
              <a:rPr lang="en-US" altLang="ja-JP" sz="800" b="1" i="0" u="none" strike="noStrike" baseline="0">
                <a:solidFill>
                  <a:schemeClr val="tx1"/>
                </a:solidFill>
                <a:latin typeface="+mj-ea"/>
                <a:ea typeface="+mj-ea"/>
              </a:rPr>
              <a:t>25</a:t>
            </a:r>
            <a:r>
              <a:rPr lang="ja-JP" altLang="en-US" sz="800" b="1" i="0" u="none" strike="noStrike" baseline="0">
                <a:solidFill>
                  <a:schemeClr val="tx1"/>
                </a:solidFill>
                <a:latin typeface="+mj-ea"/>
                <a:ea typeface="+mj-ea"/>
              </a:rPr>
              <a:t>年～30年）</a:t>
            </a:r>
          </a:p>
        </c:rich>
      </c:tx>
      <c:layout>
        <c:manualLayout>
          <c:xMode val="edge"/>
          <c:yMode val="edge"/>
          <c:x val="0.28223367249176712"/>
          <c:y val="1.2569759838040723E-2"/>
        </c:manualLayout>
      </c:layout>
      <c:overlay val="0"/>
    </c:title>
    <c:autoTitleDeleted val="0"/>
    <c:plotArea>
      <c:layout>
        <c:manualLayout>
          <c:layoutTarget val="inner"/>
          <c:xMode val="edge"/>
          <c:yMode val="edge"/>
          <c:x val="7.9758960944130833E-2"/>
          <c:y val="0.10741769906748004"/>
          <c:w val="0.86346513115759038"/>
          <c:h val="0.71635376635940995"/>
        </c:manualLayout>
      </c:layout>
      <c:barChart>
        <c:barDir val="col"/>
        <c:grouping val="clustered"/>
        <c:varyColors val="0"/>
        <c:ser>
          <c:idx val="0"/>
          <c:order val="0"/>
          <c:spPr>
            <a:solidFill>
              <a:schemeClr val="accent5"/>
            </a:solidFill>
            <a:ln>
              <a:noFill/>
            </a:ln>
          </c:spPr>
          <c:invertIfNegative val="0"/>
          <c:dPt>
            <c:idx val="0"/>
            <c:invertIfNegative val="0"/>
            <c:bubble3D val="0"/>
            <c:extLst>
              <c:ext xmlns:c16="http://schemas.microsoft.com/office/drawing/2014/chart" uri="{C3380CC4-5D6E-409C-BE32-E72D297353CC}">
                <c16:uniqueId val="{00000000-0442-4C32-A5BA-B7984A26E9BC}"/>
              </c:ext>
            </c:extLst>
          </c:dPt>
          <c:dPt>
            <c:idx val="1"/>
            <c:invertIfNegative val="0"/>
            <c:bubble3D val="0"/>
            <c:extLst>
              <c:ext xmlns:c16="http://schemas.microsoft.com/office/drawing/2014/chart" uri="{C3380CC4-5D6E-409C-BE32-E72D297353CC}">
                <c16:uniqueId val="{00000001-0442-4C32-A5BA-B7984A26E9BC}"/>
              </c:ext>
            </c:extLst>
          </c:dPt>
          <c:dPt>
            <c:idx val="2"/>
            <c:invertIfNegative val="0"/>
            <c:bubble3D val="0"/>
            <c:extLst>
              <c:ext xmlns:c16="http://schemas.microsoft.com/office/drawing/2014/chart" uri="{C3380CC4-5D6E-409C-BE32-E72D297353CC}">
                <c16:uniqueId val="{00000002-0442-4C32-A5BA-B7984A26E9BC}"/>
              </c:ext>
            </c:extLst>
          </c:dPt>
          <c:dPt>
            <c:idx val="3"/>
            <c:invertIfNegative val="0"/>
            <c:bubble3D val="0"/>
            <c:extLst>
              <c:ext xmlns:c16="http://schemas.microsoft.com/office/drawing/2014/chart" uri="{C3380CC4-5D6E-409C-BE32-E72D297353CC}">
                <c16:uniqueId val="{00000003-0442-4C32-A5BA-B7984A26E9BC}"/>
              </c:ext>
            </c:extLst>
          </c:dPt>
          <c:dPt>
            <c:idx val="4"/>
            <c:invertIfNegative val="0"/>
            <c:bubble3D val="0"/>
            <c:extLst>
              <c:ext xmlns:c16="http://schemas.microsoft.com/office/drawing/2014/chart" uri="{C3380CC4-5D6E-409C-BE32-E72D297353CC}">
                <c16:uniqueId val="{00000004-0442-4C32-A5BA-B7984A26E9BC}"/>
              </c:ext>
            </c:extLst>
          </c:dPt>
          <c:dPt>
            <c:idx val="5"/>
            <c:invertIfNegative val="0"/>
            <c:bubble3D val="0"/>
            <c:extLst>
              <c:ext xmlns:c16="http://schemas.microsoft.com/office/drawing/2014/chart" uri="{C3380CC4-5D6E-409C-BE32-E72D297353CC}">
                <c16:uniqueId val="{00000005-0442-4C32-A5BA-B7984A26E9BC}"/>
              </c:ext>
            </c:extLst>
          </c:dPt>
          <c:dPt>
            <c:idx val="6"/>
            <c:invertIfNegative val="0"/>
            <c:bubble3D val="0"/>
            <c:extLst>
              <c:ext xmlns:c16="http://schemas.microsoft.com/office/drawing/2014/chart" uri="{C3380CC4-5D6E-409C-BE32-E72D297353CC}">
                <c16:uniqueId val="{00000006-0442-4C32-A5BA-B7984A26E9BC}"/>
              </c:ext>
            </c:extLst>
          </c:dPt>
          <c:dPt>
            <c:idx val="7"/>
            <c:invertIfNegative val="0"/>
            <c:bubble3D val="0"/>
            <c:extLst>
              <c:ext xmlns:c16="http://schemas.microsoft.com/office/drawing/2014/chart" uri="{C3380CC4-5D6E-409C-BE32-E72D297353CC}">
                <c16:uniqueId val="{00000007-0442-4C32-A5BA-B7984A26E9BC}"/>
              </c:ext>
            </c:extLst>
          </c:dPt>
          <c:dPt>
            <c:idx val="8"/>
            <c:invertIfNegative val="0"/>
            <c:bubble3D val="0"/>
            <c:extLst>
              <c:ext xmlns:c16="http://schemas.microsoft.com/office/drawing/2014/chart" uri="{C3380CC4-5D6E-409C-BE32-E72D297353CC}">
                <c16:uniqueId val="{00000008-0442-4C32-A5BA-B7984A26E9BC}"/>
              </c:ext>
            </c:extLst>
          </c:dPt>
          <c:dPt>
            <c:idx val="9"/>
            <c:invertIfNegative val="0"/>
            <c:bubble3D val="0"/>
            <c:extLst>
              <c:ext xmlns:c16="http://schemas.microsoft.com/office/drawing/2014/chart" uri="{C3380CC4-5D6E-409C-BE32-E72D297353CC}">
                <c16:uniqueId val="{00000009-0442-4C32-A5BA-B7984A26E9BC}"/>
              </c:ext>
            </c:extLst>
          </c:dPt>
          <c:dPt>
            <c:idx val="10"/>
            <c:invertIfNegative val="0"/>
            <c:bubble3D val="0"/>
            <c:extLst>
              <c:ext xmlns:c16="http://schemas.microsoft.com/office/drawing/2014/chart" uri="{C3380CC4-5D6E-409C-BE32-E72D297353CC}">
                <c16:uniqueId val="{0000000A-0442-4C32-A5BA-B7984A26E9BC}"/>
              </c:ext>
            </c:extLst>
          </c:dPt>
          <c:dPt>
            <c:idx val="11"/>
            <c:invertIfNegative val="0"/>
            <c:bubble3D val="0"/>
            <c:extLst>
              <c:ext xmlns:c16="http://schemas.microsoft.com/office/drawing/2014/chart" uri="{C3380CC4-5D6E-409C-BE32-E72D297353CC}">
                <c16:uniqueId val="{0000000B-0442-4C32-A5BA-B7984A26E9BC}"/>
              </c:ext>
            </c:extLst>
          </c:dPt>
          <c:dPt>
            <c:idx val="12"/>
            <c:invertIfNegative val="0"/>
            <c:bubble3D val="0"/>
            <c:spPr>
              <a:solidFill>
                <a:schemeClr val="accent5"/>
              </a:solidFill>
              <a:ln w="3175">
                <a:noFill/>
              </a:ln>
            </c:spPr>
            <c:extLst>
              <c:ext xmlns:c16="http://schemas.microsoft.com/office/drawing/2014/chart" uri="{C3380CC4-5D6E-409C-BE32-E72D297353CC}">
                <c16:uniqueId val="{0000000D-0442-4C32-A5BA-B7984A26E9BC}"/>
              </c:ext>
            </c:extLst>
          </c:dPt>
          <c:dPt>
            <c:idx val="13"/>
            <c:invertIfNegative val="0"/>
            <c:bubble3D val="0"/>
            <c:extLst>
              <c:ext xmlns:c16="http://schemas.microsoft.com/office/drawing/2014/chart" uri="{C3380CC4-5D6E-409C-BE32-E72D297353CC}">
                <c16:uniqueId val="{0000000E-0442-4C32-A5BA-B7984A26E9BC}"/>
              </c:ext>
            </c:extLst>
          </c:dPt>
          <c:dPt>
            <c:idx val="14"/>
            <c:invertIfNegative val="0"/>
            <c:bubble3D val="0"/>
            <c:extLst>
              <c:ext xmlns:c16="http://schemas.microsoft.com/office/drawing/2014/chart" uri="{C3380CC4-5D6E-409C-BE32-E72D297353CC}">
                <c16:uniqueId val="{0000000F-0442-4C32-A5BA-B7984A26E9BC}"/>
              </c:ext>
            </c:extLst>
          </c:dPt>
          <c:dPt>
            <c:idx val="15"/>
            <c:invertIfNegative val="0"/>
            <c:bubble3D val="0"/>
            <c:extLst>
              <c:ext xmlns:c16="http://schemas.microsoft.com/office/drawing/2014/chart" uri="{C3380CC4-5D6E-409C-BE32-E72D297353CC}">
                <c16:uniqueId val="{00000010-0442-4C32-A5BA-B7984A26E9BC}"/>
              </c:ext>
            </c:extLst>
          </c:dPt>
          <c:dPt>
            <c:idx val="16"/>
            <c:invertIfNegative val="0"/>
            <c:bubble3D val="0"/>
            <c:extLst>
              <c:ext xmlns:c16="http://schemas.microsoft.com/office/drawing/2014/chart" uri="{C3380CC4-5D6E-409C-BE32-E72D297353CC}">
                <c16:uniqueId val="{00000011-0442-4C32-A5BA-B7984A26E9BC}"/>
              </c:ext>
            </c:extLst>
          </c:dPt>
          <c:dPt>
            <c:idx val="17"/>
            <c:invertIfNegative val="0"/>
            <c:bubble3D val="0"/>
            <c:extLst>
              <c:ext xmlns:c16="http://schemas.microsoft.com/office/drawing/2014/chart" uri="{C3380CC4-5D6E-409C-BE32-E72D297353CC}">
                <c16:uniqueId val="{00000012-0442-4C32-A5BA-B7984A26E9BC}"/>
              </c:ext>
            </c:extLst>
          </c:dPt>
          <c:dPt>
            <c:idx val="18"/>
            <c:invertIfNegative val="0"/>
            <c:bubble3D val="0"/>
            <c:extLst>
              <c:ext xmlns:c16="http://schemas.microsoft.com/office/drawing/2014/chart" uri="{C3380CC4-5D6E-409C-BE32-E72D297353CC}">
                <c16:uniqueId val="{00000013-0442-4C32-A5BA-B7984A26E9BC}"/>
              </c:ext>
            </c:extLst>
          </c:dPt>
          <c:dPt>
            <c:idx val="19"/>
            <c:invertIfNegative val="0"/>
            <c:bubble3D val="0"/>
            <c:extLst>
              <c:ext xmlns:c16="http://schemas.microsoft.com/office/drawing/2014/chart" uri="{C3380CC4-5D6E-409C-BE32-E72D297353CC}">
                <c16:uniqueId val="{00000014-0442-4C32-A5BA-B7984A26E9BC}"/>
              </c:ext>
            </c:extLst>
          </c:dPt>
          <c:dPt>
            <c:idx val="20"/>
            <c:invertIfNegative val="0"/>
            <c:bubble3D val="0"/>
            <c:extLst>
              <c:ext xmlns:c16="http://schemas.microsoft.com/office/drawing/2014/chart" uri="{C3380CC4-5D6E-409C-BE32-E72D297353CC}">
                <c16:uniqueId val="{00000015-0442-4C32-A5BA-B7984A26E9BC}"/>
              </c:ext>
            </c:extLst>
          </c:dPt>
          <c:dPt>
            <c:idx val="21"/>
            <c:invertIfNegative val="0"/>
            <c:bubble3D val="0"/>
            <c:extLst>
              <c:ext xmlns:c16="http://schemas.microsoft.com/office/drawing/2014/chart" uri="{C3380CC4-5D6E-409C-BE32-E72D297353CC}">
                <c16:uniqueId val="{00000016-0442-4C32-A5BA-B7984A26E9BC}"/>
              </c:ext>
            </c:extLst>
          </c:dPt>
          <c:dPt>
            <c:idx val="22"/>
            <c:invertIfNegative val="0"/>
            <c:bubble3D val="0"/>
            <c:extLst>
              <c:ext xmlns:c16="http://schemas.microsoft.com/office/drawing/2014/chart" uri="{C3380CC4-5D6E-409C-BE32-E72D297353CC}">
                <c16:uniqueId val="{00000017-0442-4C32-A5BA-B7984A26E9BC}"/>
              </c:ext>
            </c:extLst>
          </c:dPt>
          <c:dPt>
            <c:idx val="23"/>
            <c:invertIfNegative val="0"/>
            <c:bubble3D val="0"/>
            <c:spPr>
              <a:pattFill prst="pct20">
                <a:fgClr>
                  <a:schemeClr val="accent5"/>
                </a:fgClr>
                <a:bgClr>
                  <a:schemeClr val="bg1"/>
                </a:bgClr>
              </a:pattFill>
              <a:ln>
                <a:solidFill>
                  <a:schemeClr val="tx1"/>
                </a:solidFill>
              </a:ln>
            </c:spPr>
            <c:extLst>
              <c:ext xmlns:c16="http://schemas.microsoft.com/office/drawing/2014/chart" uri="{C3380CC4-5D6E-409C-BE32-E72D297353CC}">
                <c16:uniqueId val="{00000019-0442-4C32-A5BA-B7984A26E9BC}"/>
              </c:ext>
            </c:extLst>
          </c:dPt>
          <c:dPt>
            <c:idx val="24"/>
            <c:invertIfNegative val="0"/>
            <c:bubble3D val="0"/>
            <c:extLst>
              <c:ext xmlns:c16="http://schemas.microsoft.com/office/drawing/2014/chart" uri="{C3380CC4-5D6E-409C-BE32-E72D297353CC}">
                <c16:uniqueId val="{0000001A-0442-4C32-A5BA-B7984A26E9BC}"/>
              </c:ext>
            </c:extLst>
          </c:dPt>
          <c:dPt>
            <c:idx val="25"/>
            <c:invertIfNegative val="0"/>
            <c:bubble3D val="0"/>
            <c:extLst>
              <c:ext xmlns:c16="http://schemas.microsoft.com/office/drawing/2014/chart" uri="{C3380CC4-5D6E-409C-BE32-E72D297353CC}">
                <c16:uniqueId val="{0000001B-0442-4C32-A5BA-B7984A26E9BC}"/>
              </c:ext>
            </c:extLst>
          </c:dPt>
          <c:dPt>
            <c:idx val="26"/>
            <c:invertIfNegative val="0"/>
            <c:bubble3D val="0"/>
            <c:extLst>
              <c:ext xmlns:c16="http://schemas.microsoft.com/office/drawing/2014/chart" uri="{C3380CC4-5D6E-409C-BE32-E72D297353CC}">
                <c16:uniqueId val="{0000001C-0442-4C32-A5BA-B7984A26E9BC}"/>
              </c:ext>
            </c:extLst>
          </c:dPt>
          <c:dPt>
            <c:idx val="27"/>
            <c:invertIfNegative val="0"/>
            <c:bubble3D val="0"/>
            <c:extLst>
              <c:ext xmlns:c16="http://schemas.microsoft.com/office/drawing/2014/chart" uri="{C3380CC4-5D6E-409C-BE32-E72D297353CC}">
                <c16:uniqueId val="{0000001D-0442-4C32-A5BA-B7984A26E9BC}"/>
              </c:ext>
            </c:extLst>
          </c:dPt>
          <c:dPt>
            <c:idx val="28"/>
            <c:invertIfNegative val="0"/>
            <c:bubble3D val="0"/>
            <c:extLst>
              <c:ext xmlns:c16="http://schemas.microsoft.com/office/drawing/2014/chart" uri="{C3380CC4-5D6E-409C-BE32-E72D297353CC}">
                <c16:uniqueId val="{0000001E-0442-4C32-A5BA-B7984A26E9BC}"/>
              </c:ext>
            </c:extLst>
          </c:dPt>
          <c:dPt>
            <c:idx val="29"/>
            <c:invertIfNegative val="0"/>
            <c:bubble3D val="0"/>
            <c:extLst>
              <c:ext xmlns:c16="http://schemas.microsoft.com/office/drawing/2014/chart" uri="{C3380CC4-5D6E-409C-BE32-E72D297353CC}">
                <c16:uniqueId val="{0000001F-0442-4C32-A5BA-B7984A26E9BC}"/>
              </c:ext>
            </c:extLst>
          </c:dPt>
          <c:dPt>
            <c:idx val="30"/>
            <c:invertIfNegative val="0"/>
            <c:bubble3D val="0"/>
            <c:extLst>
              <c:ext xmlns:c16="http://schemas.microsoft.com/office/drawing/2014/chart" uri="{C3380CC4-5D6E-409C-BE32-E72D297353CC}">
                <c16:uniqueId val="{00000020-0442-4C32-A5BA-B7984A26E9BC}"/>
              </c:ext>
            </c:extLst>
          </c:dPt>
          <c:dPt>
            <c:idx val="31"/>
            <c:invertIfNegative val="0"/>
            <c:bubble3D val="0"/>
            <c:extLst>
              <c:ext xmlns:c16="http://schemas.microsoft.com/office/drawing/2014/chart" uri="{C3380CC4-5D6E-409C-BE32-E72D297353CC}">
                <c16:uniqueId val="{00000021-0442-4C32-A5BA-B7984A26E9BC}"/>
              </c:ext>
            </c:extLst>
          </c:dPt>
          <c:dPt>
            <c:idx val="32"/>
            <c:invertIfNegative val="0"/>
            <c:bubble3D val="0"/>
            <c:extLst>
              <c:ext xmlns:c16="http://schemas.microsoft.com/office/drawing/2014/chart" uri="{C3380CC4-5D6E-409C-BE32-E72D297353CC}">
                <c16:uniqueId val="{00000022-0442-4C32-A5BA-B7984A26E9BC}"/>
              </c:ext>
            </c:extLst>
          </c:dPt>
          <c:dPt>
            <c:idx val="33"/>
            <c:invertIfNegative val="0"/>
            <c:bubble3D val="0"/>
            <c:extLst>
              <c:ext xmlns:c16="http://schemas.microsoft.com/office/drawing/2014/chart" uri="{C3380CC4-5D6E-409C-BE32-E72D297353CC}">
                <c16:uniqueId val="{00000023-0442-4C32-A5BA-B7984A26E9BC}"/>
              </c:ext>
            </c:extLst>
          </c:dPt>
          <c:dPt>
            <c:idx val="34"/>
            <c:invertIfNegative val="0"/>
            <c:bubble3D val="0"/>
            <c:extLst>
              <c:ext xmlns:c16="http://schemas.microsoft.com/office/drawing/2014/chart" uri="{C3380CC4-5D6E-409C-BE32-E72D297353CC}">
                <c16:uniqueId val="{00000024-0442-4C32-A5BA-B7984A26E9BC}"/>
              </c:ext>
            </c:extLst>
          </c:dPt>
          <c:dPt>
            <c:idx val="35"/>
            <c:invertIfNegative val="0"/>
            <c:bubble3D val="0"/>
            <c:spPr>
              <a:solidFill>
                <a:schemeClr val="accent5"/>
              </a:solidFill>
              <a:ln w="3175">
                <a:noFill/>
              </a:ln>
            </c:spPr>
            <c:extLst>
              <c:ext xmlns:c16="http://schemas.microsoft.com/office/drawing/2014/chart" uri="{C3380CC4-5D6E-409C-BE32-E72D297353CC}">
                <c16:uniqueId val="{00000026-0442-4C32-A5BA-B7984A26E9BC}"/>
              </c:ext>
            </c:extLst>
          </c:dPt>
          <c:dPt>
            <c:idx val="36"/>
            <c:invertIfNegative val="0"/>
            <c:bubble3D val="0"/>
            <c:extLst>
              <c:ext xmlns:c16="http://schemas.microsoft.com/office/drawing/2014/chart" uri="{C3380CC4-5D6E-409C-BE32-E72D297353CC}">
                <c16:uniqueId val="{00000027-0442-4C32-A5BA-B7984A26E9BC}"/>
              </c:ext>
            </c:extLst>
          </c:dPt>
          <c:dPt>
            <c:idx val="37"/>
            <c:invertIfNegative val="0"/>
            <c:bubble3D val="0"/>
            <c:extLst>
              <c:ext xmlns:c16="http://schemas.microsoft.com/office/drawing/2014/chart" uri="{C3380CC4-5D6E-409C-BE32-E72D297353CC}">
                <c16:uniqueId val="{00000028-0442-4C32-A5BA-B7984A26E9BC}"/>
              </c:ext>
            </c:extLst>
          </c:dPt>
          <c:dPt>
            <c:idx val="38"/>
            <c:invertIfNegative val="0"/>
            <c:bubble3D val="0"/>
            <c:extLst>
              <c:ext xmlns:c16="http://schemas.microsoft.com/office/drawing/2014/chart" uri="{C3380CC4-5D6E-409C-BE32-E72D297353CC}">
                <c16:uniqueId val="{00000029-0442-4C32-A5BA-B7984A26E9BC}"/>
              </c:ext>
            </c:extLst>
          </c:dPt>
          <c:dPt>
            <c:idx val="39"/>
            <c:invertIfNegative val="0"/>
            <c:bubble3D val="0"/>
            <c:extLst>
              <c:ext xmlns:c16="http://schemas.microsoft.com/office/drawing/2014/chart" uri="{C3380CC4-5D6E-409C-BE32-E72D297353CC}">
                <c16:uniqueId val="{0000002A-0442-4C32-A5BA-B7984A26E9BC}"/>
              </c:ext>
            </c:extLst>
          </c:dPt>
          <c:dPt>
            <c:idx val="40"/>
            <c:invertIfNegative val="0"/>
            <c:bubble3D val="0"/>
            <c:extLst>
              <c:ext xmlns:c16="http://schemas.microsoft.com/office/drawing/2014/chart" uri="{C3380CC4-5D6E-409C-BE32-E72D297353CC}">
                <c16:uniqueId val="{0000002B-0442-4C32-A5BA-B7984A26E9BC}"/>
              </c:ext>
            </c:extLst>
          </c:dPt>
          <c:dPt>
            <c:idx val="41"/>
            <c:invertIfNegative val="0"/>
            <c:bubble3D val="0"/>
            <c:extLst>
              <c:ext xmlns:c16="http://schemas.microsoft.com/office/drawing/2014/chart" uri="{C3380CC4-5D6E-409C-BE32-E72D297353CC}">
                <c16:uniqueId val="{0000002C-0442-4C32-A5BA-B7984A26E9BC}"/>
              </c:ext>
            </c:extLst>
          </c:dPt>
          <c:dPt>
            <c:idx val="42"/>
            <c:invertIfNegative val="0"/>
            <c:bubble3D val="0"/>
            <c:extLst>
              <c:ext xmlns:c16="http://schemas.microsoft.com/office/drawing/2014/chart" uri="{C3380CC4-5D6E-409C-BE32-E72D297353CC}">
                <c16:uniqueId val="{0000002D-0442-4C32-A5BA-B7984A26E9BC}"/>
              </c:ext>
            </c:extLst>
          </c:dPt>
          <c:dPt>
            <c:idx val="43"/>
            <c:invertIfNegative val="0"/>
            <c:bubble3D val="0"/>
            <c:extLst>
              <c:ext xmlns:c16="http://schemas.microsoft.com/office/drawing/2014/chart" uri="{C3380CC4-5D6E-409C-BE32-E72D297353CC}">
                <c16:uniqueId val="{0000002E-0442-4C32-A5BA-B7984A26E9BC}"/>
              </c:ext>
            </c:extLst>
          </c:dPt>
          <c:dPt>
            <c:idx val="44"/>
            <c:invertIfNegative val="0"/>
            <c:bubble3D val="0"/>
            <c:extLst>
              <c:ext xmlns:c16="http://schemas.microsoft.com/office/drawing/2014/chart" uri="{C3380CC4-5D6E-409C-BE32-E72D297353CC}">
                <c16:uniqueId val="{0000002F-0442-4C32-A5BA-B7984A26E9BC}"/>
              </c:ext>
            </c:extLst>
          </c:dPt>
          <c:dPt>
            <c:idx val="45"/>
            <c:invertIfNegative val="0"/>
            <c:bubble3D val="0"/>
            <c:extLst>
              <c:ext xmlns:c16="http://schemas.microsoft.com/office/drawing/2014/chart" uri="{C3380CC4-5D6E-409C-BE32-E72D297353CC}">
                <c16:uniqueId val="{00000030-0442-4C32-A5BA-B7984A26E9BC}"/>
              </c:ext>
            </c:extLst>
          </c:dPt>
          <c:dPt>
            <c:idx val="46"/>
            <c:invertIfNegative val="0"/>
            <c:bubble3D val="0"/>
            <c:spPr>
              <a:pattFill prst="ltUpDiag">
                <a:fgClr>
                  <a:schemeClr val="accent5"/>
                </a:fgClr>
                <a:bgClr>
                  <a:schemeClr val="bg1"/>
                </a:bgClr>
              </a:pattFill>
              <a:ln>
                <a:solidFill>
                  <a:schemeClr val="tx1"/>
                </a:solidFill>
              </a:ln>
            </c:spPr>
            <c:extLst>
              <c:ext xmlns:c16="http://schemas.microsoft.com/office/drawing/2014/chart" uri="{C3380CC4-5D6E-409C-BE32-E72D297353CC}">
                <c16:uniqueId val="{00000032-0442-4C32-A5BA-B7984A26E9BC}"/>
              </c:ext>
            </c:extLst>
          </c:dPt>
          <c:dPt>
            <c:idx val="47"/>
            <c:invertIfNegative val="0"/>
            <c:bubble3D val="0"/>
            <c:extLst>
              <c:ext xmlns:c16="http://schemas.microsoft.com/office/drawing/2014/chart" uri="{C3380CC4-5D6E-409C-BE32-E72D297353CC}">
                <c16:uniqueId val="{00000033-0442-4C32-A5BA-B7984A26E9BC}"/>
              </c:ext>
            </c:extLst>
          </c:dPt>
          <c:dLbls>
            <c:dLbl>
              <c:idx val="0"/>
              <c:delete val="1"/>
              <c:extLst>
                <c:ext xmlns:c15="http://schemas.microsoft.com/office/drawing/2012/chart" uri="{CE6537A1-D6FC-4f65-9D91-7224C49458BB}"/>
                <c:ext xmlns:c16="http://schemas.microsoft.com/office/drawing/2014/chart" uri="{C3380CC4-5D6E-409C-BE32-E72D297353CC}">
                  <c16:uniqueId val="{00000000-0442-4C32-A5BA-B7984A26E9BC}"/>
                </c:ext>
              </c:extLst>
            </c:dLbl>
            <c:dLbl>
              <c:idx val="1"/>
              <c:delete val="1"/>
              <c:extLst>
                <c:ext xmlns:c15="http://schemas.microsoft.com/office/drawing/2012/chart" uri="{CE6537A1-D6FC-4f65-9D91-7224C49458BB}"/>
                <c:ext xmlns:c16="http://schemas.microsoft.com/office/drawing/2014/chart" uri="{C3380CC4-5D6E-409C-BE32-E72D297353CC}">
                  <c16:uniqueId val="{00000001-0442-4C32-A5BA-B7984A26E9BC}"/>
                </c:ext>
              </c:extLst>
            </c:dLbl>
            <c:dLbl>
              <c:idx val="2"/>
              <c:delete val="1"/>
              <c:extLst>
                <c:ext xmlns:c15="http://schemas.microsoft.com/office/drawing/2012/chart" uri="{CE6537A1-D6FC-4f65-9D91-7224C49458BB}"/>
                <c:ext xmlns:c16="http://schemas.microsoft.com/office/drawing/2014/chart" uri="{C3380CC4-5D6E-409C-BE32-E72D297353CC}">
                  <c16:uniqueId val="{00000002-0442-4C32-A5BA-B7984A26E9BC}"/>
                </c:ext>
              </c:extLst>
            </c:dLbl>
            <c:dLbl>
              <c:idx val="3"/>
              <c:delete val="1"/>
              <c:extLst>
                <c:ext xmlns:c15="http://schemas.microsoft.com/office/drawing/2012/chart" uri="{CE6537A1-D6FC-4f65-9D91-7224C49458BB}"/>
                <c:ext xmlns:c16="http://schemas.microsoft.com/office/drawing/2014/chart" uri="{C3380CC4-5D6E-409C-BE32-E72D297353CC}">
                  <c16:uniqueId val="{00000003-0442-4C32-A5BA-B7984A26E9BC}"/>
                </c:ext>
              </c:extLst>
            </c:dLbl>
            <c:dLbl>
              <c:idx val="4"/>
              <c:delete val="1"/>
              <c:extLst>
                <c:ext xmlns:c15="http://schemas.microsoft.com/office/drawing/2012/chart" uri="{CE6537A1-D6FC-4f65-9D91-7224C49458BB}"/>
                <c:ext xmlns:c16="http://schemas.microsoft.com/office/drawing/2014/chart" uri="{C3380CC4-5D6E-409C-BE32-E72D297353CC}">
                  <c16:uniqueId val="{00000004-0442-4C32-A5BA-B7984A26E9BC}"/>
                </c:ext>
              </c:extLst>
            </c:dLbl>
            <c:dLbl>
              <c:idx val="5"/>
              <c:delete val="1"/>
              <c:extLst>
                <c:ext xmlns:c15="http://schemas.microsoft.com/office/drawing/2012/chart" uri="{CE6537A1-D6FC-4f65-9D91-7224C49458BB}"/>
                <c:ext xmlns:c16="http://schemas.microsoft.com/office/drawing/2014/chart" uri="{C3380CC4-5D6E-409C-BE32-E72D297353CC}">
                  <c16:uniqueId val="{00000005-0442-4C32-A5BA-B7984A26E9BC}"/>
                </c:ext>
              </c:extLst>
            </c:dLbl>
            <c:dLbl>
              <c:idx val="6"/>
              <c:delete val="1"/>
              <c:extLst>
                <c:ext xmlns:c15="http://schemas.microsoft.com/office/drawing/2012/chart" uri="{CE6537A1-D6FC-4f65-9D91-7224C49458BB}"/>
                <c:ext xmlns:c16="http://schemas.microsoft.com/office/drawing/2014/chart" uri="{C3380CC4-5D6E-409C-BE32-E72D297353CC}">
                  <c16:uniqueId val="{00000006-0442-4C32-A5BA-B7984A26E9BC}"/>
                </c:ext>
              </c:extLst>
            </c:dLbl>
            <c:dLbl>
              <c:idx val="7"/>
              <c:delete val="1"/>
              <c:extLst>
                <c:ext xmlns:c15="http://schemas.microsoft.com/office/drawing/2012/chart" uri="{CE6537A1-D6FC-4f65-9D91-7224C49458BB}"/>
                <c:ext xmlns:c16="http://schemas.microsoft.com/office/drawing/2014/chart" uri="{C3380CC4-5D6E-409C-BE32-E72D297353CC}">
                  <c16:uniqueId val="{00000007-0442-4C32-A5BA-B7984A26E9BC}"/>
                </c:ext>
              </c:extLst>
            </c:dLbl>
            <c:dLbl>
              <c:idx val="8"/>
              <c:delete val="1"/>
              <c:extLst>
                <c:ext xmlns:c15="http://schemas.microsoft.com/office/drawing/2012/chart" uri="{CE6537A1-D6FC-4f65-9D91-7224C49458BB}"/>
                <c:ext xmlns:c16="http://schemas.microsoft.com/office/drawing/2014/chart" uri="{C3380CC4-5D6E-409C-BE32-E72D297353CC}">
                  <c16:uniqueId val="{00000008-0442-4C32-A5BA-B7984A26E9BC}"/>
                </c:ext>
              </c:extLst>
            </c:dLbl>
            <c:dLbl>
              <c:idx val="9"/>
              <c:delete val="1"/>
              <c:extLst>
                <c:ext xmlns:c15="http://schemas.microsoft.com/office/drawing/2012/chart" uri="{CE6537A1-D6FC-4f65-9D91-7224C49458BB}"/>
                <c:ext xmlns:c16="http://schemas.microsoft.com/office/drawing/2014/chart" uri="{C3380CC4-5D6E-409C-BE32-E72D297353CC}">
                  <c16:uniqueId val="{00000009-0442-4C32-A5BA-B7984A26E9BC}"/>
                </c:ext>
              </c:extLst>
            </c:dLbl>
            <c:dLbl>
              <c:idx val="10"/>
              <c:delete val="1"/>
              <c:extLst>
                <c:ext xmlns:c15="http://schemas.microsoft.com/office/drawing/2012/chart" uri="{CE6537A1-D6FC-4f65-9D91-7224C49458BB}"/>
                <c:ext xmlns:c16="http://schemas.microsoft.com/office/drawing/2014/chart" uri="{C3380CC4-5D6E-409C-BE32-E72D297353CC}">
                  <c16:uniqueId val="{0000000A-0442-4C32-A5BA-B7984A26E9BC}"/>
                </c:ext>
              </c:extLst>
            </c:dLbl>
            <c:dLbl>
              <c:idx val="11"/>
              <c:delete val="1"/>
              <c:extLst>
                <c:ext xmlns:c15="http://schemas.microsoft.com/office/drawing/2012/chart" uri="{CE6537A1-D6FC-4f65-9D91-7224C49458BB}"/>
                <c:ext xmlns:c16="http://schemas.microsoft.com/office/drawing/2014/chart" uri="{C3380CC4-5D6E-409C-BE32-E72D297353CC}">
                  <c16:uniqueId val="{0000000B-0442-4C32-A5BA-B7984A26E9BC}"/>
                </c:ext>
              </c:extLst>
            </c:dLbl>
            <c:dLbl>
              <c:idx val="12"/>
              <c:delete val="1"/>
              <c:extLst>
                <c:ext xmlns:c15="http://schemas.microsoft.com/office/drawing/2012/chart" uri="{CE6537A1-D6FC-4f65-9D91-7224C49458BB}"/>
                <c:ext xmlns:c16="http://schemas.microsoft.com/office/drawing/2014/chart" uri="{C3380CC4-5D6E-409C-BE32-E72D297353CC}">
                  <c16:uniqueId val="{0000000D-0442-4C32-A5BA-B7984A26E9BC}"/>
                </c:ext>
              </c:extLst>
            </c:dLbl>
            <c:dLbl>
              <c:idx val="13"/>
              <c:delete val="1"/>
              <c:extLst>
                <c:ext xmlns:c15="http://schemas.microsoft.com/office/drawing/2012/chart" uri="{CE6537A1-D6FC-4f65-9D91-7224C49458BB}"/>
                <c:ext xmlns:c16="http://schemas.microsoft.com/office/drawing/2014/chart" uri="{C3380CC4-5D6E-409C-BE32-E72D297353CC}">
                  <c16:uniqueId val="{0000000E-0442-4C32-A5BA-B7984A26E9BC}"/>
                </c:ext>
              </c:extLst>
            </c:dLbl>
            <c:dLbl>
              <c:idx val="14"/>
              <c:delete val="1"/>
              <c:extLst>
                <c:ext xmlns:c15="http://schemas.microsoft.com/office/drawing/2012/chart" uri="{CE6537A1-D6FC-4f65-9D91-7224C49458BB}"/>
                <c:ext xmlns:c16="http://schemas.microsoft.com/office/drawing/2014/chart" uri="{C3380CC4-5D6E-409C-BE32-E72D297353CC}">
                  <c16:uniqueId val="{0000000F-0442-4C32-A5BA-B7984A26E9BC}"/>
                </c:ext>
              </c:extLst>
            </c:dLbl>
            <c:dLbl>
              <c:idx val="15"/>
              <c:delete val="1"/>
              <c:extLst>
                <c:ext xmlns:c15="http://schemas.microsoft.com/office/drawing/2012/chart" uri="{CE6537A1-D6FC-4f65-9D91-7224C49458BB}"/>
                <c:ext xmlns:c16="http://schemas.microsoft.com/office/drawing/2014/chart" uri="{C3380CC4-5D6E-409C-BE32-E72D297353CC}">
                  <c16:uniqueId val="{00000010-0442-4C32-A5BA-B7984A26E9BC}"/>
                </c:ext>
              </c:extLst>
            </c:dLbl>
            <c:dLbl>
              <c:idx val="16"/>
              <c:delete val="1"/>
              <c:extLst>
                <c:ext xmlns:c15="http://schemas.microsoft.com/office/drawing/2012/chart" uri="{CE6537A1-D6FC-4f65-9D91-7224C49458BB}"/>
                <c:ext xmlns:c16="http://schemas.microsoft.com/office/drawing/2014/chart" uri="{C3380CC4-5D6E-409C-BE32-E72D297353CC}">
                  <c16:uniqueId val="{00000011-0442-4C32-A5BA-B7984A26E9BC}"/>
                </c:ext>
              </c:extLst>
            </c:dLbl>
            <c:dLbl>
              <c:idx val="17"/>
              <c:delete val="1"/>
              <c:extLst>
                <c:ext xmlns:c15="http://schemas.microsoft.com/office/drawing/2012/chart" uri="{CE6537A1-D6FC-4f65-9D91-7224C49458BB}"/>
                <c:ext xmlns:c16="http://schemas.microsoft.com/office/drawing/2014/chart" uri="{C3380CC4-5D6E-409C-BE32-E72D297353CC}">
                  <c16:uniqueId val="{00000012-0442-4C32-A5BA-B7984A26E9BC}"/>
                </c:ext>
              </c:extLst>
            </c:dLbl>
            <c:dLbl>
              <c:idx val="18"/>
              <c:delete val="1"/>
              <c:extLst>
                <c:ext xmlns:c15="http://schemas.microsoft.com/office/drawing/2012/chart" uri="{CE6537A1-D6FC-4f65-9D91-7224C49458BB}"/>
                <c:ext xmlns:c16="http://schemas.microsoft.com/office/drawing/2014/chart" uri="{C3380CC4-5D6E-409C-BE32-E72D297353CC}">
                  <c16:uniqueId val="{00000013-0442-4C32-A5BA-B7984A26E9BC}"/>
                </c:ext>
              </c:extLst>
            </c:dLbl>
            <c:dLbl>
              <c:idx val="19"/>
              <c:delete val="1"/>
              <c:extLst>
                <c:ext xmlns:c15="http://schemas.microsoft.com/office/drawing/2012/chart" uri="{CE6537A1-D6FC-4f65-9D91-7224C49458BB}"/>
                <c:ext xmlns:c16="http://schemas.microsoft.com/office/drawing/2014/chart" uri="{C3380CC4-5D6E-409C-BE32-E72D297353CC}">
                  <c16:uniqueId val="{00000014-0442-4C32-A5BA-B7984A26E9BC}"/>
                </c:ext>
              </c:extLst>
            </c:dLbl>
            <c:dLbl>
              <c:idx val="20"/>
              <c:delete val="1"/>
              <c:extLst>
                <c:ext xmlns:c15="http://schemas.microsoft.com/office/drawing/2012/chart" uri="{CE6537A1-D6FC-4f65-9D91-7224C49458BB}"/>
                <c:ext xmlns:c16="http://schemas.microsoft.com/office/drawing/2014/chart" uri="{C3380CC4-5D6E-409C-BE32-E72D297353CC}">
                  <c16:uniqueId val="{00000015-0442-4C32-A5BA-B7984A26E9BC}"/>
                </c:ext>
              </c:extLst>
            </c:dLbl>
            <c:dLbl>
              <c:idx val="21"/>
              <c:delete val="1"/>
              <c:extLst>
                <c:ext xmlns:c15="http://schemas.microsoft.com/office/drawing/2012/chart" uri="{CE6537A1-D6FC-4f65-9D91-7224C49458BB}"/>
                <c:ext xmlns:c16="http://schemas.microsoft.com/office/drawing/2014/chart" uri="{C3380CC4-5D6E-409C-BE32-E72D297353CC}">
                  <c16:uniqueId val="{00000016-0442-4C32-A5BA-B7984A26E9BC}"/>
                </c:ext>
              </c:extLst>
            </c:dLbl>
            <c:dLbl>
              <c:idx val="22"/>
              <c:delete val="1"/>
              <c:extLst>
                <c:ext xmlns:c15="http://schemas.microsoft.com/office/drawing/2012/chart" uri="{CE6537A1-D6FC-4f65-9D91-7224C49458BB}"/>
                <c:ext xmlns:c16="http://schemas.microsoft.com/office/drawing/2014/chart" uri="{C3380CC4-5D6E-409C-BE32-E72D297353CC}">
                  <c16:uniqueId val="{00000017-0442-4C32-A5BA-B7984A26E9BC}"/>
                </c:ext>
              </c:extLst>
            </c:dLbl>
            <c:dLbl>
              <c:idx val="23"/>
              <c:spPr>
                <a:noFill/>
                <a:ln>
                  <a:noFill/>
                </a:ln>
                <a:effectLst/>
              </c:spPr>
              <c:txPr>
                <a:bodyPr horzOverflow="overflow"/>
                <a:lstStyle/>
                <a:p>
                  <a:pPr>
                    <a:defRPr sz="800">
                      <a:solidFill>
                        <a:schemeClr val="tx1"/>
                      </a:solidFill>
                    </a:defRPr>
                  </a:pPr>
                  <a:endParaRPr lang="ja-JP"/>
                </a:p>
              </c:txPr>
              <c:dLblPos val="outEnd"/>
              <c:showLegendKey val="0"/>
              <c:showVal val="1"/>
              <c:showCatName val="0"/>
              <c:showSerName val="0"/>
              <c:showPercent val="0"/>
              <c:showBubbleSize val="0"/>
              <c:extLst>
                <c:ext xmlns:c16="http://schemas.microsoft.com/office/drawing/2014/chart" uri="{C3380CC4-5D6E-409C-BE32-E72D297353CC}">
                  <c16:uniqueId val="{00000019-0442-4C32-A5BA-B7984A26E9BC}"/>
                </c:ext>
              </c:extLst>
            </c:dLbl>
            <c:dLbl>
              <c:idx val="24"/>
              <c:delete val="1"/>
              <c:extLst>
                <c:ext xmlns:c15="http://schemas.microsoft.com/office/drawing/2012/chart" uri="{CE6537A1-D6FC-4f65-9D91-7224C49458BB}"/>
                <c:ext xmlns:c16="http://schemas.microsoft.com/office/drawing/2014/chart" uri="{C3380CC4-5D6E-409C-BE32-E72D297353CC}">
                  <c16:uniqueId val="{0000001A-0442-4C32-A5BA-B7984A26E9BC}"/>
                </c:ext>
              </c:extLst>
            </c:dLbl>
            <c:dLbl>
              <c:idx val="25"/>
              <c:delete val="1"/>
              <c:extLst>
                <c:ext xmlns:c15="http://schemas.microsoft.com/office/drawing/2012/chart" uri="{CE6537A1-D6FC-4f65-9D91-7224C49458BB}"/>
                <c:ext xmlns:c16="http://schemas.microsoft.com/office/drawing/2014/chart" uri="{C3380CC4-5D6E-409C-BE32-E72D297353CC}">
                  <c16:uniqueId val="{0000001B-0442-4C32-A5BA-B7984A26E9BC}"/>
                </c:ext>
              </c:extLst>
            </c:dLbl>
            <c:dLbl>
              <c:idx val="26"/>
              <c:delete val="1"/>
              <c:extLst>
                <c:ext xmlns:c15="http://schemas.microsoft.com/office/drawing/2012/chart" uri="{CE6537A1-D6FC-4f65-9D91-7224C49458BB}"/>
                <c:ext xmlns:c16="http://schemas.microsoft.com/office/drawing/2014/chart" uri="{C3380CC4-5D6E-409C-BE32-E72D297353CC}">
                  <c16:uniqueId val="{0000001C-0442-4C32-A5BA-B7984A26E9BC}"/>
                </c:ext>
              </c:extLst>
            </c:dLbl>
            <c:dLbl>
              <c:idx val="27"/>
              <c:delete val="1"/>
              <c:extLst>
                <c:ext xmlns:c15="http://schemas.microsoft.com/office/drawing/2012/chart" uri="{CE6537A1-D6FC-4f65-9D91-7224C49458BB}"/>
                <c:ext xmlns:c16="http://schemas.microsoft.com/office/drawing/2014/chart" uri="{C3380CC4-5D6E-409C-BE32-E72D297353CC}">
                  <c16:uniqueId val="{0000001D-0442-4C32-A5BA-B7984A26E9BC}"/>
                </c:ext>
              </c:extLst>
            </c:dLbl>
            <c:dLbl>
              <c:idx val="28"/>
              <c:delete val="1"/>
              <c:extLst>
                <c:ext xmlns:c15="http://schemas.microsoft.com/office/drawing/2012/chart" uri="{CE6537A1-D6FC-4f65-9D91-7224C49458BB}"/>
                <c:ext xmlns:c16="http://schemas.microsoft.com/office/drawing/2014/chart" uri="{C3380CC4-5D6E-409C-BE32-E72D297353CC}">
                  <c16:uniqueId val="{0000001E-0442-4C32-A5BA-B7984A26E9BC}"/>
                </c:ext>
              </c:extLst>
            </c:dLbl>
            <c:dLbl>
              <c:idx val="29"/>
              <c:delete val="1"/>
              <c:extLst>
                <c:ext xmlns:c15="http://schemas.microsoft.com/office/drawing/2012/chart" uri="{CE6537A1-D6FC-4f65-9D91-7224C49458BB}"/>
                <c:ext xmlns:c16="http://schemas.microsoft.com/office/drawing/2014/chart" uri="{C3380CC4-5D6E-409C-BE32-E72D297353CC}">
                  <c16:uniqueId val="{0000001F-0442-4C32-A5BA-B7984A26E9BC}"/>
                </c:ext>
              </c:extLst>
            </c:dLbl>
            <c:dLbl>
              <c:idx val="30"/>
              <c:delete val="1"/>
              <c:extLst>
                <c:ext xmlns:c15="http://schemas.microsoft.com/office/drawing/2012/chart" uri="{CE6537A1-D6FC-4f65-9D91-7224C49458BB}"/>
                <c:ext xmlns:c16="http://schemas.microsoft.com/office/drawing/2014/chart" uri="{C3380CC4-5D6E-409C-BE32-E72D297353CC}">
                  <c16:uniqueId val="{00000020-0442-4C32-A5BA-B7984A26E9BC}"/>
                </c:ext>
              </c:extLst>
            </c:dLbl>
            <c:dLbl>
              <c:idx val="31"/>
              <c:delete val="1"/>
              <c:extLst>
                <c:ext xmlns:c15="http://schemas.microsoft.com/office/drawing/2012/chart" uri="{CE6537A1-D6FC-4f65-9D91-7224C49458BB}"/>
                <c:ext xmlns:c16="http://schemas.microsoft.com/office/drawing/2014/chart" uri="{C3380CC4-5D6E-409C-BE32-E72D297353CC}">
                  <c16:uniqueId val="{00000021-0442-4C32-A5BA-B7984A26E9BC}"/>
                </c:ext>
              </c:extLst>
            </c:dLbl>
            <c:dLbl>
              <c:idx val="32"/>
              <c:delete val="1"/>
              <c:extLst>
                <c:ext xmlns:c15="http://schemas.microsoft.com/office/drawing/2012/chart" uri="{CE6537A1-D6FC-4f65-9D91-7224C49458BB}"/>
                <c:ext xmlns:c16="http://schemas.microsoft.com/office/drawing/2014/chart" uri="{C3380CC4-5D6E-409C-BE32-E72D297353CC}">
                  <c16:uniqueId val="{00000022-0442-4C32-A5BA-B7984A26E9BC}"/>
                </c:ext>
              </c:extLst>
            </c:dLbl>
            <c:dLbl>
              <c:idx val="33"/>
              <c:delete val="1"/>
              <c:extLst>
                <c:ext xmlns:c15="http://schemas.microsoft.com/office/drawing/2012/chart" uri="{CE6537A1-D6FC-4f65-9D91-7224C49458BB}"/>
                <c:ext xmlns:c16="http://schemas.microsoft.com/office/drawing/2014/chart" uri="{C3380CC4-5D6E-409C-BE32-E72D297353CC}">
                  <c16:uniqueId val="{00000023-0442-4C32-A5BA-B7984A26E9BC}"/>
                </c:ext>
              </c:extLst>
            </c:dLbl>
            <c:dLbl>
              <c:idx val="34"/>
              <c:delete val="1"/>
              <c:extLst>
                <c:ext xmlns:c15="http://schemas.microsoft.com/office/drawing/2012/chart" uri="{CE6537A1-D6FC-4f65-9D91-7224C49458BB}"/>
                <c:ext xmlns:c16="http://schemas.microsoft.com/office/drawing/2014/chart" uri="{C3380CC4-5D6E-409C-BE32-E72D297353CC}">
                  <c16:uniqueId val="{00000024-0442-4C32-A5BA-B7984A26E9BC}"/>
                </c:ext>
              </c:extLst>
            </c:dLbl>
            <c:dLbl>
              <c:idx val="35"/>
              <c:delete val="1"/>
              <c:extLst>
                <c:ext xmlns:c15="http://schemas.microsoft.com/office/drawing/2012/chart" uri="{CE6537A1-D6FC-4f65-9D91-7224C49458BB}"/>
                <c:ext xmlns:c16="http://schemas.microsoft.com/office/drawing/2014/chart" uri="{C3380CC4-5D6E-409C-BE32-E72D297353CC}">
                  <c16:uniqueId val="{00000026-0442-4C32-A5BA-B7984A26E9BC}"/>
                </c:ext>
              </c:extLst>
            </c:dLbl>
            <c:dLbl>
              <c:idx val="36"/>
              <c:delete val="1"/>
              <c:extLst>
                <c:ext xmlns:c15="http://schemas.microsoft.com/office/drawing/2012/chart" uri="{CE6537A1-D6FC-4f65-9D91-7224C49458BB}"/>
                <c:ext xmlns:c16="http://schemas.microsoft.com/office/drawing/2014/chart" uri="{C3380CC4-5D6E-409C-BE32-E72D297353CC}">
                  <c16:uniqueId val="{00000027-0442-4C32-A5BA-B7984A26E9BC}"/>
                </c:ext>
              </c:extLst>
            </c:dLbl>
            <c:dLbl>
              <c:idx val="37"/>
              <c:delete val="1"/>
              <c:extLst>
                <c:ext xmlns:c15="http://schemas.microsoft.com/office/drawing/2012/chart" uri="{CE6537A1-D6FC-4f65-9D91-7224C49458BB}"/>
                <c:ext xmlns:c16="http://schemas.microsoft.com/office/drawing/2014/chart" uri="{C3380CC4-5D6E-409C-BE32-E72D297353CC}">
                  <c16:uniqueId val="{00000028-0442-4C32-A5BA-B7984A26E9BC}"/>
                </c:ext>
              </c:extLst>
            </c:dLbl>
            <c:dLbl>
              <c:idx val="38"/>
              <c:delete val="1"/>
              <c:extLst>
                <c:ext xmlns:c15="http://schemas.microsoft.com/office/drawing/2012/chart" uri="{CE6537A1-D6FC-4f65-9D91-7224C49458BB}"/>
                <c:ext xmlns:c16="http://schemas.microsoft.com/office/drawing/2014/chart" uri="{C3380CC4-5D6E-409C-BE32-E72D297353CC}">
                  <c16:uniqueId val="{00000029-0442-4C32-A5BA-B7984A26E9BC}"/>
                </c:ext>
              </c:extLst>
            </c:dLbl>
            <c:dLbl>
              <c:idx val="39"/>
              <c:delete val="1"/>
              <c:extLst>
                <c:ext xmlns:c15="http://schemas.microsoft.com/office/drawing/2012/chart" uri="{CE6537A1-D6FC-4f65-9D91-7224C49458BB}"/>
                <c:ext xmlns:c16="http://schemas.microsoft.com/office/drawing/2014/chart" uri="{C3380CC4-5D6E-409C-BE32-E72D297353CC}">
                  <c16:uniqueId val="{0000002A-0442-4C32-A5BA-B7984A26E9BC}"/>
                </c:ext>
              </c:extLst>
            </c:dLbl>
            <c:dLbl>
              <c:idx val="40"/>
              <c:delete val="1"/>
              <c:extLst>
                <c:ext xmlns:c15="http://schemas.microsoft.com/office/drawing/2012/chart" uri="{CE6537A1-D6FC-4f65-9D91-7224C49458BB}"/>
                <c:ext xmlns:c16="http://schemas.microsoft.com/office/drawing/2014/chart" uri="{C3380CC4-5D6E-409C-BE32-E72D297353CC}">
                  <c16:uniqueId val="{0000002B-0442-4C32-A5BA-B7984A26E9BC}"/>
                </c:ext>
              </c:extLst>
            </c:dLbl>
            <c:dLbl>
              <c:idx val="41"/>
              <c:delete val="1"/>
              <c:extLst>
                <c:ext xmlns:c15="http://schemas.microsoft.com/office/drawing/2012/chart" uri="{CE6537A1-D6FC-4f65-9D91-7224C49458BB}"/>
                <c:ext xmlns:c16="http://schemas.microsoft.com/office/drawing/2014/chart" uri="{C3380CC4-5D6E-409C-BE32-E72D297353CC}">
                  <c16:uniqueId val="{0000002C-0442-4C32-A5BA-B7984A26E9BC}"/>
                </c:ext>
              </c:extLst>
            </c:dLbl>
            <c:dLbl>
              <c:idx val="42"/>
              <c:delete val="1"/>
              <c:extLst>
                <c:ext xmlns:c15="http://schemas.microsoft.com/office/drawing/2012/chart" uri="{CE6537A1-D6FC-4f65-9D91-7224C49458BB}"/>
                <c:ext xmlns:c16="http://schemas.microsoft.com/office/drawing/2014/chart" uri="{C3380CC4-5D6E-409C-BE32-E72D297353CC}">
                  <c16:uniqueId val="{0000002D-0442-4C32-A5BA-B7984A26E9BC}"/>
                </c:ext>
              </c:extLst>
            </c:dLbl>
            <c:dLbl>
              <c:idx val="43"/>
              <c:delete val="1"/>
              <c:extLst>
                <c:ext xmlns:c15="http://schemas.microsoft.com/office/drawing/2012/chart" uri="{CE6537A1-D6FC-4f65-9D91-7224C49458BB}"/>
                <c:ext xmlns:c16="http://schemas.microsoft.com/office/drawing/2014/chart" uri="{C3380CC4-5D6E-409C-BE32-E72D297353CC}">
                  <c16:uniqueId val="{0000002E-0442-4C32-A5BA-B7984A26E9BC}"/>
                </c:ext>
              </c:extLst>
            </c:dLbl>
            <c:dLbl>
              <c:idx val="44"/>
              <c:delete val="1"/>
              <c:extLst>
                <c:ext xmlns:c15="http://schemas.microsoft.com/office/drawing/2012/chart" uri="{CE6537A1-D6FC-4f65-9D91-7224C49458BB}"/>
                <c:ext xmlns:c16="http://schemas.microsoft.com/office/drawing/2014/chart" uri="{C3380CC4-5D6E-409C-BE32-E72D297353CC}">
                  <c16:uniqueId val="{0000002F-0442-4C32-A5BA-B7984A26E9BC}"/>
                </c:ext>
              </c:extLst>
            </c:dLbl>
            <c:dLbl>
              <c:idx val="45"/>
              <c:delete val="1"/>
              <c:extLst>
                <c:ext xmlns:c15="http://schemas.microsoft.com/office/drawing/2012/chart" uri="{CE6537A1-D6FC-4f65-9D91-7224C49458BB}"/>
                <c:ext xmlns:c16="http://schemas.microsoft.com/office/drawing/2014/chart" uri="{C3380CC4-5D6E-409C-BE32-E72D297353CC}">
                  <c16:uniqueId val="{00000030-0442-4C32-A5BA-B7984A26E9BC}"/>
                </c:ext>
              </c:extLst>
            </c:dLbl>
            <c:dLbl>
              <c:idx val="46"/>
              <c:layout>
                <c:manualLayout>
                  <c:x val="-4.8049199128701288E-3"/>
                  <c:y val="1.241536143722107E-2"/>
                </c:manualLayout>
              </c:layout>
              <c:spPr>
                <a:noFill/>
                <a:ln>
                  <a:noFill/>
                </a:ln>
                <a:effectLst/>
              </c:spPr>
              <c:txPr>
                <a:bodyPr horzOverflow="overflow"/>
                <a:lstStyle/>
                <a:p>
                  <a:pPr>
                    <a:defRPr sz="8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0442-4C32-A5BA-B7984A26E9BC}"/>
                </c:ext>
              </c:extLst>
            </c:dLbl>
            <c:dLbl>
              <c:idx val="47"/>
              <c:delete val="1"/>
              <c:extLst>
                <c:ext xmlns:c15="http://schemas.microsoft.com/office/drawing/2012/chart" uri="{CE6537A1-D6FC-4f65-9D91-7224C49458BB}"/>
                <c:ext xmlns:c16="http://schemas.microsoft.com/office/drawing/2014/chart" uri="{C3380CC4-5D6E-409C-BE32-E72D297353CC}">
                  <c16:uniqueId val="{00000033-0442-4C32-A5BA-B7984A26E9BC}"/>
                </c:ext>
              </c:extLst>
            </c:dLbl>
            <c:spPr>
              <a:noFill/>
              <a:ln>
                <a:noFill/>
              </a:ln>
              <a:effectLst/>
            </c:spPr>
            <c:txPr>
              <a:bodyPr rot="0" horzOverflow="overflow" anchor="ctr" anchorCtr="1"/>
              <a:lstStyle/>
              <a:p>
                <a:pPr algn="ctr" rtl="0">
                  <a:defRPr sz="800">
                    <a:solidFill>
                      <a:schemeClr val="tx1"/>
                    </a:solidFill>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'住宅数＆世帯数推移'!$C$39:$C$86</c:f>
              <c:strCache>
                <c:ptCount val="48"/>
                <c:pt idx="0">
                  <c:v>福島県</c:v>
                </c:pt>
                <c:pt idx="1">
                  <c:v>沖縄県</c:v>
                </c:pt>
                <c:pt idx="2">
                  <c:v>栃木県</c:v>
                </c:pt>
                <c:pt idx="3">
                  <c:v>宮城県</c:v>
                </c:pt>
                <c:pt idx="4">
                  <c:v>群馬県</c:v>
                </c:pt>
                <c:pt idx="5">
                  <c:v>福井県</c:v>
                </c:pt>
                <c:pt idx="6">
                  <c:v>岩手県</c:v>
                </c:pt>
                <c:pt idx="7">
                  <c:v>茨城県</c:v>
                </c:pt>
                <c:pt idx="8">
                  <c:v>千葉県</c:v>
                </c:pt>
                <c:pt idx="9">
                  <c:v>徳島県</c:v>
                </c:pt>
                <c:pt idx="10">
                  <c:v>東京都</c:v>
                </c:pt>
                <c:pt idx="11">
                  <c:v>佐賀県</c:v>
                </c:pt>
                <c:pt idx="12">
                  <c:v>山形県</c:v>
                </c:pt>
                <c:pt idx="13">
                  <c:v>滋賀県</c:v>
                </c:pt>
                <c:pt idx="14">
                  <c:v>埼玉県</c:v>
                </c:pt>
                <c:pt idx="15">
                  <c:v>香川県</c:v>
                </c:pt>
                <c:pt idx="16">
                  <c:v>福岡県</c:v>
                </c:pt>
                <c:pt idx="17">
                  <c:v>岡山県</c:v>
                </c:pt>
                <c:pt idx="18">
                  <c:v>神奈川県</c:v>
                </c:pt>
                <c:pt idx="19">
                  <c:v>静岡県</c:v>
                </c:pt>
                <c:pt idx="20">
                  <c:v>島根県</c:v>
                </c:pt>
                <c:pt idx="21">
                  <c:v>富山県</c:v>
                </c:pt>
                <c:pt idx="22">
                  <c:v>石川県</c:v>
                </c:pt>
                <c:pt idx="23">
                  <c:v>全国</c:v>
                </c:pt>
                <c:pt idx="24">
                  <c:v>三重県</c:v>
                </c:pt>
                <c:pt idx="25">
                  <c:v>鳥取県</c:v>
                </c:pt>
                <c:pt idx="26">
                  <c:v>長野県</c:v>
                </c:pt>
                <c:pt idx="27">
                  <c:v>広島県</c:v>
                </c:pt>
                <c:pt idx="28">
                  <c:v>宮崎県</c:v>
                </c:pt>
                <c:pt idx="29">
                  <c:v>新潟県</c:v>
                </c:pt>
                <c:pt idx="30">
                  <c:v>北海道</c:v>
                </c:pt>
                <c:pt idx="31">
                  <c:v>大分県</c:v>
                </c:pt>
                <c:pt idx="32">
                  <c:v>大阪府</c:v>
                </c:pt>
                <c:pt idx="33">
                  <c:v>山口県</c:v>
                </c:pt>
                <c:pt idx="34">
                  <c:v>和歌山県</c:v>
                </c:pt>
                <c:pt idx="35">
                  <c:v>岐阜県</c:v>
                </c:pt>
                <c:pt idx="36">
                  <c:v>鹿児島県</c:v>
                </c:pt>
                <c:pt idx="37">
                  <c:v>京都府</c:v>
                </c:pt>
                <c:pt idx="38">
                  <c:v>愛媛県</c:v>
                </c:pt>
                <c:pt idx="39">
                  <c:v>愛知県</c:v>
                </c:pt>
                <c:pt idx="40">
                  <c:v>熊本県</c:v>
                </c:pt>
                <c:pt idx="41">
                  <c:v>青森県</c:v>
                </c:pt>
                <c:pt idx="42">
                  <c:v>奈良県</c:v>
                </c:pt>
                <c:pt idx="43">
                  <c:v>山梨県</c:v>
                </c:pt>
                <c:pt idx="44">
                  <c:v>長崎県</c:v>
                </c:pt>
                <c:pt idx="45">
                  <c:v>高知県</c:v>
                </c:pt>
                <c:pt idx="46">
                  <c:v>秋田県</c:v>
                </c:pt>
                <c:pt idx="47">
                  <c:v>兵庫県</c:v>
                </c:pt>
              </c:strCache>
            </c:strRef>
          </c:cat>
          <c:val>
            <c:numRef>
              <c:f>'住宅数＆世帯数推移'!$D$39:$D$86</c:f>
              <c:numCache>
                <c:formatCode>0.0_ </c:formatCode>
                <c:ptCount val="48"/>
                <c:pt idx="0">
                  <c:v>10.140664961636828</c:v>
                </c:pt>
                <c:pt idx="1">
                  <c:v>8.2255389718076284</c:v>
                </c:pt>
                <c:pt idx="2">
                  <c:v>5.4266211604095567</c:v>
                </c:pt>
                <c:pt idx="3">
                  <c:v>5.3481624758220505</c:v>
                </c:pt>
                <c:pt idx="4">
                  <c:v>5.0941306755260243</c:v>
                </c:pt>
                <c:pt idx="5">
                  <c:v>4.967741935483871</c:v>
                </c:pt>
                <c:pt idx="6">
                  <c:v>4.9456521739130439</c:v>
                </c:pt>
                <c:pt idx="7">
                  <c:v>4.8028391167192428</c:v>
                </c:pt>
                <c:pt idx="8">
                  <c:v>4.6201657458563536</c:v>
                </c:pt>
                <c:pt idx="9">
                  <c:v>4.3013698630136989</c:v>
                </c:pt>
                <c:pt idx="10">
                  <c:v>4.247859763554831</c:v>
                </c:pt>
                <c:pt idx="11">
                  <c:v>4.1715976331360949</c:v>
                </c:pt>
                <c:pt idx="12">
                  <c:v>3.9351851851851856</c:v>
                </c:pt>
                <c:pt idx="13">
                  <c:v>3.8142620232172471</c:v>
                </c:pt>
                <c:pt idx="14">
                  <c:v>3.6344151867728107</c:v>
                </c:pt>
                <c:pt idx="15">
                  <c:v>3.545647558386412</c:v>
                </c:pt>
                <c:pt idx="16">
                  <c:v>3.5379061371841152</c:v>
                </c:pt>
                <c:pt idx="17">
                  <c:v>3.5367231638418075</c:v>
                </c:pt>
                <c:pt idx="18">
                  <c:v>3.5049413927832682</c:v>
                </c:pt>
                <c:pt idx="19">
                  <c:v>3.357444243520193</c:v>
                </c:pt>
                <c:pt idx="20">
                  <c:v>3.3552631578947372</c:v>
                </c:pt>
                <c:pt idx="21">
                  <c:v>3.0979498861047836</c:v>
                </c:pt>
                <c:pt idx="22">
                  <c:v>3.0384615384615383</c:v>
                </c:pt>
                <c:pt idx="23">
                  <c:v>2.9332497649639611</c:v>
                </c:pt>
                <c:pt idx="24">
                  <c:v>2.7316486161251503</c:v>
                </c:pt>
                <c:pt idx="25">
                  <c:v>2.6399999999999997</c:v>
                </c:pt>
                <c:pt idx="26">
                  <c:v>2.6374745417515273</c:v>
                </c:pt>
                <c:pt idx="27">
                  <c:v>2.6327116212338595</c:v>
                </c:pt>
                <c:pt idx="28">
                  <c:v>2.3220973782771539</c:v>
                </c:pt>
                <c:pt idx="29">
                  <c:v>2.3148148148148149</c:v>
                </c:pt>
                <c:pt idx="30">
                  <c:v>2.1914816163087005</c:v>
                </c:pt>
                <c:pt idx="31">
                  <c:v>2.070175438596491</c:v>
                </c:pt>
                <c:pt idx="32">
                  <c:v>2.0540776275621457</c:v>
                </c:pt>
                <c:pt idx="33">
                  <c:v>1.9688385269121813</c:v>
                </c:pt>
                <c:pt idx="34">
                  <c:v>1.9327731092436973</c:v>
                </c:pt>
                <c:pt idx="35">
                  <c:v>1.8109339407744875</c:v>
                </c:pt>
                <c:pt idx="36">
                  <c:v>1.6647398843930634</c:v>
                </c:pt>
                <c:pt idx="37">
                  <c:v>1.3863636363636362</c:v>
                </c:pt>
                <c:pt idx="38">
                  <c:v>1.3191489361702129</c:v>
                </c:pt>
                <c:pt idx="39">
                  <c:v>1.2445478336725793</c:v>
                </c:pt>
                <c:pt idx="40">
                  <c:v>1.2064676616915422</c:v>
                </c:pt>
                <c:pt idx="41">
                  <c:v>1.0921501706484642</c:v>
                </c:pt>
                <c:pt idx="42">
                  <c:v>0.42276422764227639</c:v>
                </c:pt>
                <c:pt idx="43">
                  <c:v>0</c:v>
                </c:pt>
                <c:pt idx="44">
                  <c:v>-7.575757575757576E-2</c:v>
                </c:pt>
                <c:pt idx="45">
                  <c:v>-0.10204081632653061</c:v>
                </c:pt>
                <c:pt idx="46">
                  <c:v>-0.29082774049217003</c:v>
                </c:pt>
                <c:pt idx="47">
                  <c:v>-1.9422092172640819</c:v>
                </c:pt>
              </c:numCache>
            </c:numRef>
          </c:val>
          <c:extLst>
            <c:ext xmlns:c16="http://schemas.microsoft.com/office/drawing/2014/chart" uri="{C3380CC4-5D6E-409C-BE32-E72D297353CC}">
              <c16:uniqueId val="{00000034-0442-4C32-A5BA-B7984A26E9BC}"/>
            </c:ext>
          </c:extLst>
        </c:ser>
        <c:dLbls>
          <c:showLegendKey val="0"/>
          <c:showVal val="0"/>
          <c:showCatName val="0"/>
          <c:showSerName val="0"/>
          <c:showPercent val="0"/>
          <c:showBubbleSize val="0"/>
        </c:dLbls>
        <c:gapWidth val="76"/>
        <c:axId val="1"/>
        <c:axId val="2"/>
      </c:barChart>
      <c:catAx>
        <c:axId val="1"/>
        <c:scaling>
          <c:orientation val="minMax"/>
        </c:scaling>
        <c:delete val="0"/>
        <c:axPos val="b"/>
        <c:numFmt formatCode="General" sourceLinked="1"/>
        <c:majorTickMark val="none"/>
        <c:minorTickMark val="none"/>
        <c:tickLblPos val="low"/>
        <c:txPr>
          <a:bodyPr horzOverflow="overflow" vert="eaVert" anchor="ctr" anchorCtr="1"/>
          <a:lstStyle/>
          <a:p>
            <a:pPr algn="ctr" rtl="0">
              <a:defRPr sz="700">
                <a:solidFill>
                  <a:schemeClr val="tx1"/>
                </a:solidFill>
              </a:defRPr>
            </a:pPr>
            <a:endParaRPr lang="ja-JP"/>
          </a:p>
        </c:txPr>
        <c:crossAx val="2"/>
        <c:crosses val="autoZero"/>
        <c:auto val="1"/>
        <c:lblAlgn val="ctr"/>
        <c:lblOffset val="100"/>
        <c:noMultiLvlLbl val="0"/>
      </c:catAx>
      <c:valAx>
        <c:axId val="2"/>
        <c:scaling>
          <c:orientation val="minMax"/>
        </c:scaling>
        <c:delete val="0"/>
        <c:axPos val="l"/>
        <c:majorGridlines>
          <c:spPr>
            <a:ln>
              <a:solidFill>
                <a:schemeClr val="tx1"/>
              </a:solidFill>
              <a:prstDash val="sysDot"/>
            </a:ln>
          </c:spPr>
        </c:majorGridlines>
        <c:numFmt formatCode="0.0_ " sourceLinked="1"/>
        <c:majorTickMark val="out"/>
        <c:minorTickMark val="none"/>
        <c:tickLblPos val="nextTo"/>
        <c:txPr>
          <a:bodyPr horzOverflow="overflow" anchor="ctr" anchorCtr="1"/>
          <a:lstStyle/>
          <a:p>
            <a:pPr algn="ctr" rtl="0">
              <a:defRPr sz="800">
                <a:solidFill>
                  <a:schemeClr val="tx1"/>
                </a:solidFill>
              </a:defRPr>
            </a:pPr>
            <a:endParaRPr lang="ja-JP"/>
          </a:p>
        </c:txPr>
        <c:crossAx val="1"/>
        <c:crosses val="autoZero"/>
        <c:crossBetween val="between"/>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horzOverflow="overflow" anchor="ctr" anchorCtr="1"/>
          <a:lstStyle/>
          <a:p>
            <a:pPr algn="ctr" rtl="0">
              <a:defRPr sz="800" i="0" u="none" strike="noStrike" baseline="0">
                <a:solidFill>
                  <a:schemeClr val="tx1"/>
                </a:solidFill>
              </a:defRPr>
            </a:pPr>
            <a:r>
              <a:rPr lang="ja-JP" altLang="en-US" sz="800" b="1" i="0" u="none" strike="noStrike" baseline="0">
                <a:solidFill>
                  <a:schemeClr val="tx1"/>
                </a:solidFill>
                <a:latin typeface="+mj-ea"/>
                <a:ea typeface="+mj-ea"/>
              </a:rPr>
              <a:t>図１－１　総住宅数及び総世帯数（昭和</a:t>
            </a:r>
            <a:r>
              <a:rPr lang="en-US" altLang="ja-JP" sz="800" b="1" i="0" u="none" strike="noStrike" baseline="0">
                <a:solidFill>
                  <a:schemeClr val="tx1"/>
                </a:solidFill>
                <a:latin typeface="+mj-ea"/>
                <a:ea typeface="+mj-ea"/>
              </a:rPr>
              <a:t>63</a:t>
            </a:r>
            <a:r>
              <a:rPr lang="ja-JP" altLang="en-US" sz="800" b="1" i="0" u="none" strike="noStrike" baseline="0">
                <a:solidFill>
                  <a:schemeClr val="tx1"/>
                </a:solidFill>
                <a:latin typeface="+mj-ea"/>
                <a:ea typeface="+mj-ea"/>
              </a:rPr>
              <a:t>年～平成</a:t>
            </a:r>
            <a:r>
              <a:rPr lang="en-US" altLang="ja-JP" sz="800" b="1" i="0" u="none" strike="noStrike" baseline="0">
                <a:solidFill>
                  <a:schemeClr val="tx1"/>
                </a:solidFill>
                <a:latin typeface="+mj-ea"/>
                <a:ea typeface="+mj-ea"/>
              </a:rPr>
              <a:t>30</a:t>
            </a:r>
            <a:r>
              <a:rPr lang="ja-JP" altLang="en-US" sz="800" b="1" i="0" u="none" strike="noStrike" baseline="0">
                <a:solidFill>
                  <a:schemeClr val="tx1"/>
                </a:solidFill>
                <a:latin typeface="+mj-ea"/>
                <a:ea typeface="+mj-ea"/>
              </a:rPr>
              <a:t>年）</a:t>
            </a:r>
          </a:p>
        </c:rich>
      </c:tx>
      <c:layout>
        <c:manualLayout>
          <c:xMode val="edge"/>
          <c:yMode val="edge"/>
          <c:x val="0.26411107410090967"/>
          <c:y val="2.1293585307426137E-2"/>
        </c:manualLayout>
      </c:layout>
      <c:overlay val="0"/>
    </c:title>
    <c:autoTitleDeleted val="0"/>
    <c:view3D>
      <c:rotX val="15"/>
      <c:rotY val="20"/>
      <c:depthPercent val="100"/>
      <c:rAngAx val="1"/>
    </c:view3D>
    <c:floor>
      <c:thickness val="0"/>
    </c:floor>
    <c:sideWall>
      <c:thickness val="0"/>
      <c:spPr>
        <a:ln>
          <a:solidFill>
            <a:schemeClr val="tx1"/>
          </a:solidFill>
        </a:ln>
      </c:spPr>
    </c:sideWall>
    <c:backWall>
      <c:thickness val="0"/>
      <c:spPr>
        <a:ln>
          <a:solidFill>
            <a:schemeClr val="tx1"/>
          </a:solidFill>
        </a:ln>
      </c:spPr>
    </c:backWall>
    <c:plotArea>
      <c:layout>
        <c:manualLayout>
          <c:layoutTarget val="inner"/>
          <c:xMode val="edge"/>
          <c:yMode val="edge"/>
          <c:x val="9.0127540058971015E-2"/>
          <c:y val="0.20662729031294721"/>
          <c:w val="0.88454396325459317"/>
          <c:h val="0.67318077122180331"/>
        </c:manualLayout>
      </c:layout>
      <c:bar3DChart>
        <c:barDir val="col"/>
        <c:grouping val="clustered"/>
        <c:varyColors val="0"/>
        <c:ser>
          <c:idx val="0"/>
          <c:order val="0"/>
          <c:tx>
            <c:strRef>
              <c:f>'住宅数＆世帯数推移'!$A$13</c:f>
              <c:strCache>
                <c:ptCount val="1"/>
                <c:pt idx="0">
                  <c:v>総住宅数（千戸）</c:v>
                </c:pt>
              </c:strCache>
            </c:strRef>
          </c:tx>
          <c:spPr>
            <a:pattFill prst="pct20">
              <a:fgClr>
                <a:schemeClr val="accent5"/>
              </a:fgClr>
              <a:bgClr>
                <a:schemeClr val="bg1"/>
              </a:bgClr>
            </a:pattFill>
            <a:ln w="3175">
              <a:solidFill>
                <a:schemeClr val="accent1"/>
              </a:solidFill>
            </a:ln>
          </c:spPr>
          <c:invertIfNegative val="0"/>
          <c:dPt>
            <c:idx val="0"/>
            <c:invertIfNegative val="0"/>
            <c:bubble3D val="0"/>
            <c:extLst>
              <c:ext xmlns:c16="http://schemas.microsoft.com/office/drawing/2014/chart" uri="{C3380CC4-5D6E-409C-BE32-E72D297353CC}">
                <c16:uniqueId val="{00000000-47C7-4BA0-8A5A-2B3A2E3C5F8E}"/>
              </c:ext>
            </c:extLst>
          </c:dPt>
          <c:dPt>
            <c:idx val="1"/>
            <c:invertIfNegative val="0"/>
            <c:bubble3D val="0"/>
            <c:extLst>
              <c:ext xmlns:c16="http://schemas.microsoft.com/office/drawing/2014/chart" uri="{C3380CC4-5D6E-409C-BE32-E72D297353CC}">
                <c16:uniqueId val="{00000001-47C7-4BA0-8A5A-2B3A2E3C5F8E}"/>
              </c:ext>
            </c:extLst>
          </c:dPt>
          <c:dPt>
            <c:idx val="2"/>
            <c:invertIfNegative val="0"/>
            <c:bubble3D val="0"/>
            <c:extLst>
              <c:ext xmlns:c16="http://schemas.microsoft.com/office/drawing/2014/chart" uri="{C3380CC4-5D6E-409C-BE32-E72D297353CC}">
                <c16:uniqueId val="{00000002-47C7-4BA0-8A5A-2B3A2E3C5F8E}"/>
              </c:ext>
            </c:extLst>
          </c:dPt>
          <c:dPt>
            <c:idx val="3"/>
            <c:invertIfNegative val="0"/>
            <c:bubble3D val="0"/>
            <c:extLst>
              <c:ext xmlns:c16="http://schemas.microsoft.com/office/drawing/2014/chart" uri="{C3380CC4-5D6E-409C-BE32-E72D297353CC}">
                <c16:uniqueId val="{00000003-47C7-4BA0-8A5A-2B3A2E3C5F8E}"/>
              </c:ext>
            </c:extLst>
          </c:dPt>
          <c:dPt>
            <c:idx val="4"/>
            <c:invertIfNegative val="0"/>
            <c:bubble3D val="0"/>
            <c:extLst>
              <c:ext xmlns:c16="http://schemas.microsoft.com/office/drawing/2014/chart" uri="{C3380CC4-5D6E-409C-BE32-E72D297353CC}">
                <c16:uniqueId val="{00000004-47C7-4BA0-8A5A-2B3A2E3C5F8E}"/>
              </c:ext>
            </c:extLst>
          </c:dPt>
          <c:dPt>
            <c:idx val="5"/>
            <c:invertIfNegative val="0"/>
            <c:bubble3D val="0"/>
            <c:extLst>
              <c:ext xmlns:c16="http://schemas.microsoft.com/office/drawing/2014/chart" uri="{C3380CC4-5D6E-409C-BE32-E72D297353CC}">
                <c16:uniqueId val="{00000005-47C7-4BA0-8A5A-2B3A2E3C5F8E}"/>
              </c:ext>
            </c:extLst>
          </c:dPt>
          <c:dLbls>
            <c:dLbl>
              <c:idx val="0"/>
              <c:layout>
                <c:manualLayout>
                  <c:x val="0"/>
                  <c:y val="-1.2314009173128828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C7-4BA0-8A5A-2B3A2E3C5F8E}"/>
                </c:ext>
              </c:extLst>
            </c:dLbl>
            <c:dLbl>
              <c:idx val="1"/>
              <c:layout>
                <c:manualLayout>
                  <c:x val="0"/>
                  <c:y val="-1.2314009173128828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C7-4BA0-8A5A-2B3A2E3C5F8E}"/>
                </c:ext>
              </c:extLst>
            </c:dLbl>
            <c:dLbl>
              <c:idx val="2"/>
              <c:layout>
                <c:manualLayout>
                  <c:x val="0"/>
                  <c:y val="-1.6418678897505104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C7-4BA0-8A5A-2B3A2E3C5F8E}"/>
                </c:ext>
              </c:extLst>
            </c:dLbl>
            <c:dLbl>
              <c:idx val="3"/>
              <c:layout>
                <c:manualLayout>
                  <c:x val="0"/>
                  <c:y val="-1.2314009173128828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C7-4BA0-8A5A-2B3A2E3C5F8E}"/>
                </c:ext>
              </c:extLst>
            </c:dLbl>
            <c:dLbl>
              <c:idx val="4"/>
              <c:layout>
                <c:manualLayout>
                  <c:x val="0"/>
                  <c:y val="-1.6418678897505104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C7-4BA0-8A5A-2B3A2E3C5F8E}"/>
                </c:ext>
              </c:extLst>
            </c:dLbl>
            <c:dLbl>
              <c:idx val="5"/>
              <c:layout>
                <c:manualLayout>
                  <c:x val="1.0185067526415994E-16"/>
                  <c:y val="-1.2314009173128828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C7-4BA0-8A5A-2B3A2E3C5F8E}"/>
                </c:ext>
              </c:extLst>
            </c:dLbl>
            <c:numFmt formatCode="#,##0_);[Red]\(#,##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'住宅数＆世帯数推移'!$B$12:$H$12</c:f>
              <c:strCache>
                <c:ptCount val="7"/>
                <c:pt idx="0">
                  <c:v>63年</c:v>
                </c:pt>
                <c:pt idx="1">
                  <c:v>平成5年</c:v>
                </c:pt>
                <c:pt idx="2">
                  <c:v>10年</c:v>
                </c:pt>
                <c:pt idx="3">
                  <c:v>15年</c:v>
                </c:pt>
                <c:pt idx="4">
                  <c:v>20年</c:v>
                </c:pt>
                <c:pt idx="5">
                  <c:v>25年</c:v>
                </c:pt>
                <c:pt idx="6">
                  <c:v>30年</c:v>
                </c:pt>
              </c:strCache>
            </c:strRef>
          </c:cat>
          <c:val>
            <c:numRef>
              <c:f>'住宅数＆世帯数推移'!$B$13:$H$13</c:f>
              <c:numCache>
                <c:formatCode>0</c:formatCode>
                <c:ptCount val="7"/>
                <c:pt idx="0">
                  <c:v>369.4</c:v>
                </c:pt>
                <c:pt idx="1">
                  <c:v>383.4</c:v>
                </c:pt>
                <c:pt idx="2">
                  <c:v>413.3</c:v>
                </c:pt>
                <c:pt idx="3">
                  <c:v>428.6</c:v>
                </c:pt>
                <c:pt idx="4">
                  <c:v>437.4</c:v>
                </c:pt>
                <c:pt idx="5" formatCode="\ ###,###,##0;&quot;-&quot;###,###,##0">
                  <c:v>446.9</c:v>
                </c:pt>
                <c:pt idx="6" formatCode="\ ###,###,##0;&quot;-&quot;###,###,##0">
                  <c:v>445.7</c:v>
                </c:pt>
              </c:numCache>
            </c:numRef>
          </c:val>
          <c:extLst>
            <c:ext xmlns:c16="http://schemas.microsoft.com/office/drawing/2014/chart" uri="{C3380CC4-5D6E-409C-BE32-E72D297353CC}">
              <c16:uniqueId val="{00000006-47C7-4BA0-8A5A-2B3A2E3C5F8E}"/>
            </c:ext>
          </c:extLst>
        </c:ser>
        <c:ser>
          <c:idx val="1"/>
          <c:order val="1"/>
          <c:tx>
            <c:strRef>
              <c:f>'住宅数＆世帯数推移'!$A$14</c:f>
              <c:strCache>
                <c:ptCount val="1"/>
                <c:pt idx="0">
                  <c:v>総世帯数（千世帯）</c:v>
                </c:pt>
              </c:strCache>
            </c:strRef>
          </c:tx>
          <c:spPr>
            <a:pattFill prst="smCheck">
              <a:fgClr>
                <a:schemeClr val="accent5"/>
              </a:fgClr>
              <a:bgClr>
                <a:schemeClr val="bg1"/>
              </a:bgClr>
            </a:pattFill>
            <a:ln w="3175">
              <a:solidFill>
                <a:schemeClr val="accent1"/>
              </a:solidFill>
            </a:ln>
          </c:spPr>
          <c:invertIfNegative val="0"/>
          <c:dPt>
            <c:idx val="0"/>
            <c:invertIfNegative val="0"/>
            <c:bubble3D val="0"/>
            <c:extLst>
              <c:ext xmlns:c16="http://schemas.microsoft.com/office/drawing/2014/chart" uri="{C3380CC4-5D6E-409C-BE32-E72D297353CC}">
                <c16:uniqueId val="{00000007-47C7-4BA0-8A5A-2B3A2E3C5F8E}"/>
              </c:ext>
            </c:extLst>
          </c:dPt>
          <c:dPt>
            <c:idx val="1"/>
            <c:invertIfNegative val="0"/>
            <c:bubble3D val="0"/>
            <c:extLst>
              <c:ext xmlns:c16="http://schemas.microsoft.com/office/drawing/2014/chart" uri="{C3380CC4-5D6E-409C-BE32-E72D297353CC}">
                <c16:uniqueId val="{00000008-47C7-4BA0-8A5A-2B3A2E3C5F8E}"/>
              </c:ext>
            </c:extLst>
          </c:dPt>
          <c:dPt>
            <c:idx val="2"/>
            <c:invertIfNegative val="0"/>
            <c:bubble3D val="0"/>
            <c:extLst>
              <c:ext xmlns:c16="http://schemas.microsoft.com/office/drawing/2014/chart" uri="{C3380CC4-5D6E-409C-BE32-E72D297353CC}">
                <c16:uniqueId val="{00000009-47C7-4BA0-8A5A-2B3A2E3C5F8E}"/>
              </c:ext>
            </c:extLst>
          </c:dPt>
          <c:dPt>
            <c:idx val="3"/>
            <c:invertIfNegative val="0"/>
            <c:bubble3D val="0"/>
            <c:extLst>
              <c:ext xmlns:c16="http://schemas.microsoft.com/office/drawing/2014/chart" uri="{C3380CC4-5D6E-409C-BE32-E72D297353CC}">
                <c16:uniqueId val="{0000000A-47C7-4BA0-8A5A-2B3A2E3C5F8E}"/>
              </c:ext>
            </c:extLst>
          </c:dPt>
          <c:dPt>
            <c:idx val="4"/>
            <c:invertIfNegative val="0"/>
            <c:bubble3D val="0"/>
            <c:extLst>
              <c:ext xmlns:c16="http://schemas.microsoft.com/office/drawing/2014/chart" uri="{C3380CC4-5D6E-409C-BE32-E72D297353CC}">
                <c16:uniqueId val="{0000000B-47C7-4BA0-8A5A-2B3A2E3C5F8E}"/>
              </c:ext>
            </c:extLst>
          </c:dPt>
          <c:dPt>
            <c:idx val="5"/>
            <c:invertIfNegative val="0"/>
            <c:bubble3D val="0"/>
            <c:extLst>
              <c:ext xmlns:c16="http://schemas.microsoft.com/office/drawing/2014/chart" uri="{C3380CC4-5D6E-409C-BE32-E72D297353CC}">
                <c16:uniqueId val="{0000000C-47C7-4BA0-8A5A-2B3A2E3C5F8E}"/>
              </c:ext>
            </c:extLst>
          </c:dPt>
          <c:dPt>
            <c:idx val="6"/>
            <c:invertIfNegative val="0"/>
            <c:bubble3D val="0"/>
            <c:extLst>
              <c:ext xmlns:c16="http://schemas.microsoft.com/office/drawing/2014/chart" uri="{C3380CC4-5D6E-409C-BE32-E72D297353CC}">
                <c16:uniqueId val="{0000000D-47C7-4BA0-8A5A-2B3A2E3C5F8E}"/>
              </c:ext>
            </c:extLst>
          </c:dPt>
          <c:dLbls>
            <c:dLbl>
              <c:idx val="0"/>
              <c:layout>
                <c:manualLayout>
                  <c:x val="2.5000000000000001E-2"/>
                  <c:y val="-2.3827210495830697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7C7-4BA0-8A5A-2B3A2E3C5F8E}"/>
                </c:ext>
              </c:extLst>
            </c:dLbl>
            <c:dLbl>
              <c:idx val="1"/>
              <c:layout>
                <c:manualLayout>
                  <c:x val="1.6666666666666666E-2"/>
                  <c:y val="-1.6482169642696051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7C7-4BA0-8A5A-2B3A2E3C5F8E}"/>
                </c:ext>
              </c:extLst>
            </c:dLbl>
            <c:dLbl>
              <c:idx val="2"/>
              <c:layout>
                <c:manualLayout>
                  <c:x val="1.3888888888888888E-2"/>
                  <c:y val="-1.6481547497951589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7C7-4BA0-8A5A-2B3A2E3C5F8E}"/>
                </c:ext>
              </c:extLst>
            </c:dLbl>
            <c:dLbl>
              <c:idx val="3"/>
              <c:layout>
                <c:manualLayout>
                  <c:x val="2.2222222222222223E-2"/>
                  <c:y val="-2.1789997530085363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7C7-4BA0-8A5A-2B3A2E3C5F8E}"/>
                </c:ext>
              </c:extLst>
            </c:dLbl>
            <c:dLbl>
              <c:idx val="4"/>
              <c:layout>
                <c:manualLayout>
                  <c:x val="2.5000000000000001E-2"/>
                  <c:y val="-5.3087611045060075E-3"/>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7C7-4BA0-8A5A-2B3A2E3C5F8E}"/>
                </c:ext>
              </c:extLst>
            </c:dLbl>
            <c:dLbl>
              <c:idx val="5"/>
              <c:layout>
                <c:manualLayout>
                  <c:x val="2.4999781277340333E-2"/>
                  <c:y val="-1.8519382608441385E-2"/>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7C7-4BA0-8A5A-2B3A2E3C5F8E}"/>
                </c:ext>
              </c:extLst>
            </c:dLbl>
            <c:dLbl>
              <c:idx val="6"/>
              <c:layout>
                <c:manualLayout>
                  <c:x val="1.1758364679971108E-2"/>
                  <c:y val="-3.950616669487054E-3"/>
                </c:manualLayout>
              </c:layout>
              <c:numFmt formatCode="#,##0_);[Red]\(#,##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7C7-4BA0-8A5A-2B3A2E3C5F8E}"/>
                </c:ext>
              </c:extLst>
            </c:dLbl>
            <c:numFmt formatCode="#,##0_);[Red]\(#,##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'住宅数＆世帯数推移'!$B$12:$H$12</c:f>
              <c:strCache>
                <c:ptCount val="7"/>
                <c:pt idx="0">
                  <c:v>63年</c:v>
                </c:pt>
                <c:pt idx="1">
                  <c:v>平成5年</c:v>
                </c:pt>
                <c:pt idx="2">
                  <c:v>10年</c:v>
                </c:pt>
                <c:pt idx="3">
                  <c:v>15年</c:v>
                </c:pt>
                <c:pt idx="4">
                  <c:v>20年</c:v>
                </c:pt>
                <c:pt idx="5">
                  <c:v>25年</c:v>
                </c:pt>
                <c:pt idx="6">
                  <c:v>30年</c:v>
                </c:pt>
              </c:strCache>
            </c:strRef>
          </c:cat>
          <c:val>
            <c:numRef>
              <c:f>'住宅数＆世帯数推移'!$B$14:$H$14</c:f>
              <c:numCache>
                <c:formatCode>0</c:formatCode>
                <c:ptCount val="7"/>
                <c:pt idx="0">
                  <c:v>340.4</c:v>
                </c:pt>
                <c:pt idx="1">
                  <c:v>352.5</c:v>
                </c:pt>
                <c:pt idx="2">
                  <c:v>375.4</c:v>
                </c:pt>
                <c:pt idx="3">
                  <c:v>383.8</c:v>
                </c:pt>
                <c:pt idx="4">
                  <c:v>381.9</c:v>
                </c:pt>
                <c:pt idx="5" formatCode="\ ###,###,##0;&quot;-&quot;###,###,##0">
                  <c:v>390</c:v>
                </c:pt>
                <c:pt idx="6" formatCode="\ ###,###,##0;&quot;-&quot;###,###,##0">
                  <c:v>385.9</c:v>
                </c:pt>
              </c:numCache>
            </c:numRef>
          </c:val>
          <c:extLst>
            <c:ext xmlns:c16="http://schemas.microsoft.com/office/drawing/2014/chart" uri="{C3380CC4-5D6E-409C-BE32-E72D297353CC}">
              <c16:uniqueId val="{0000000E-47C7-4BA0-8A5A-2B3A2E3C5F8E}"/>
            </c:ext>
          </c:extLst>
        </c:ser>
        <c:dLbls>
          <c:showLegendKey val="0"/>
          <c:showVal val="0"/>
          <c:showCatName val="0"/>
          <c:showSerName val="0"/>
          <c:showPercent val="0"/>
          <c:showBubbleSize val="0"/>
        </c:dLbls>
        <c:gapWidth val="187"/>
        <c:gapDepth val="328"/>
        <c:shape val="box"/>
        <c:axId val="1"/>
        <c:axId val="2"/>
        <c:axId val="0"/>
      </c:bar3DChart>
      <c:catAx>
        <c:axId val="1"/>
        <c:scaling>
          <c:orientation val="minMax"/>
        </c:scaling>
        <c:delete val="0"/>
        <c:axPos val="b"/>
        <c:numFmt formatCode="General" sourceLinked="1"/>
        <c:majorTickMark val="out"/>
        <c:minorTickMark val="none"/>
        <c:tickLblPos val="nextTo"/>
        <c:spPr>
          <a:ln>
            <a:solidFill>
              <a:schemeClr val="tx1"/>
            </a:solidFill>
          </a:ln>
        </c:spPr>
        <c:txPr>
          <a:bodyPr horzOverflow="overflow" anchor="ctr" anchorCtr="1"/>
          <a:lstStyle/>
          <a:p>
            <a:pPr algn="ctr" rtl="0">
              <a:defRPr sz="700">
                <a:solidFill>
                  <a:schemeClr val="tx1"/>
                </a:solidFill>
              </a:defRPr>
            </a:pPr>
            <a:endParaRPr lang="ja-JP"/>
          </a:p>
        </c:txPr>
        <c:crossAx val="2"/>
        <c:crosses val="autoZero"/>
        <c:auto val="1"/>
        <c:lblAlgn val="ctr"/>
        <c:lblOffset val="100"/>
        <c:noMultiLvlLbl val="0"/>
      </c:catAx>
      <c:valAx>
        <c:axId val="2"/>
        <c:scaling>
          <c:orientation val="minMax"/>
        </c:scaling>
        <c:delete val="0"/>
        <c:axPos val="l"/>
        <c:majorGridlines>
          <c:spPr>
            <a:ln>
              <a:solidFill>
                <a:schemeClr val="tx1"/>
              </a:solidFill>
            </a:ln>
          </c:spPr>
        </c:majorGridlines>
        <c:numFmt formatCode="#,##0_);[Red]\(#,##0\)" sourceLinked="0"/>
        <c:majorTickMark val="out"/>
        <c:minorTickMark val="in"/>
        <c:tickLblPos val="nextTo"/>
        <c:spPr>
          <a:ln>
            <a:solidFill>
              <a:schemeClr val="tx1"/>
            </a:solidFill>
          </a:ln>
        </c:spPr>
        <c:txPr>
          <a:bodyPr horzOverflow="overflow" anchor="ctr" anchorCtr="1"/>
          <a:lstStyle/>
          <a:p>
            <a:pPr algn="ctr" rtl="0">
              <a:defRPr sz="700">
                <a:solidFill>
                  <a:schemeClr val="tx1"/>
                </a:solidFill>
              </a:defRPr>
            </a:pPr>
            <a:endParaRPr lang="ja-JP"/>
          </a:p>
        </c:txPr>
        <c:crossAx val="1"/>
        <c:crosses val="autoZero"/>
        <c:crossBetween val="between"/>
        <c:majorUnit val="100"/>
        <c:minorUnit val="50"/>
      </c:valAx>
      <c:spPr>
        <a:ln>
          <a:noFill/>
        </a:ln>
      </c:spPr>
    </c:plotArea>
    <c:legend>
      <c:legendPos val="t"/>
      <c:layout>
        <c:manualLayout>
          <c:xMode val="edge"/>
          <c:yMode val="edge"/>
          <c:x val="0.32782377511710364"/>
          <c:y val="9.7877557692831643E-2"/>
          <c:w val="0.34435237679895336"/>
          <c:h val="6.8831514506254993E-2"/>
        </c:manualLayout>
      </c:layout>
      <c:overlay val="0"/>
      <c:spPr>
        <a:ln w="1905">
          <a:solidFill>
            <a:schemeClr val="tx1"/>
          </a:solidFill>
        </a:ln>
      </c:spPr>
      <c:txPr>
        <a:bodyPr horzOverflow="overflow" anchor="ctr" anchorCtr="1"/>
        <a:lstStyle/>
        <a:p>
          <a:pPr algn="l" rtl="0">
            <a:defRPr sz="700">
              <a:solidFill>
                <a:schemeClr val="tx1"/>
              </a:solidFill>
            </a:defRPr>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700">
          <a:solidFill>
            <a:schemeClr val="tx1"/>
          </a:solidFill>
          <a:latin typeface="+mj-ea"/>
          <a:ea typeface="+mj-ea"/>
        </a:defRPr>
      </a:pPr>
      <a:endParaRPr lang="ja-JP"/>
    </a:p>
  </c:txPr>
  <c:externalData r:id="rId1">
    <c:autoUpdate val="0"/>
  </c:externalData>
  <c:userShapes r:id="rId2"/>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horzOverflow="overflow" anchor="ctr" anchorCtr="1"/>
          <a:lstStyle/>
          <a:p>
            <a:pPr algn="ctr" rtl="0">
              <a:defRPr sz="800" i="0" u="none" strike="noStrike" baseline="0">
                <a:solidFill>
                  <a:schemeClr val="tx1"/>
                </a:solidFill>
              </a:defRPr>
            </a:pPr>
            <a:r>
              <a:rPr lang="ja-JP" altLang="en-US" sz="800" b="1" i="0" u="none" strike="noStrike" baseline="0">
                <a:solidFill>
                  <a:schemeClr val="tx1"/>
                </a:solidFill>
                <a:latin typeface="+mj-ea"/>
                <a:ea typeface="+mj-ea"/>
              </a:rPr>
              <a:t>図２－１　空き家数及び空き家率－秋田県</a:t>
            </a:r>
            <a:endParaRPr lang="en-US" altLang="en-US" sz="800" b="1" i="0" u="none" strike="noStrike" baseline="0">
              <a:solidFill>
                <a:schemeClr val="tx1"/>
              </a:solidFill>
              <a:latin typeface="+mj-ea"/>
              <a:ea typeface="+mj-ea"/>
            </a:endParaRPr>
          </a:p>
          <a:p>
            <a:pPr algn="ctr" rtl="0">
              <a:defRPr sz="800" i="0" u="none" strike="noStrike" baseline="0">
                <a:solidFill>
                  <a:schemeClr val="tx1"/>
                </a:solidFill>
              </a:defRPr>
            </a:pPr>
            <a:r>
              <a:rPr lang="ja-JP" altLang="en-US" sz="800" b="1" i="0" u="none" strike="noStrike" baseline="0">
                <a:solidFill>
                  <a:schemeClr val="tx1"/>
                </a:solidFill>
                <a:latin typeface="+mj-ea"/>
                <a:ea typeface="+mj-ea"/>
              </a:rPr>
              <a:t>（昭和</a:t>
            </a:r>
            <a:r>
              <a:rPr lang="en-US" altLang="ja-JP" sz="800" b="1" i="0" u="none" strike="noStrike" baseline="0">
                <a:solidFill>
                  <a:schemeClr val="tx1"/>
                </a:solidFill>
                <a:latin typeface="+mj-ea"/>
                <a:ea typeface="+mj-ea"/>
              </a:rPr>
              <a:t>38</a:t>
            </a:r>
            <a:r>
              <a:rPr lang="ja-JP" altLang="en-US" sz="800" b="1" i="0" u="none" strike="noStrike" baseline="0">
                <a:solidFill>
                  <a:schemeClr val="tx1"/>
                </a:solidFill>
                <a:latin typeface="+mj-ea"/>
                <a:ea typeface="+mj-ea"/>
              </a:rPr>
              <a:t>年～平成30年）</a:t>
            </a:r>
          </a:p>
        </c:rich>
      </c:tx>
      <c:layout>
        <c:manualLayout>
          <c:xMode val="edge"/>
          <c:yMode val="edge"/>
          <c:x val="0.20976192369893157"/>
          <c:y val="2.2335501372791524E-2"/>
        </c:manualLayout>
      </c:layout>
      <c:overlay val="0"/>
    </c:title>
    <c:autoTitleDeleted val="0"/>
    <c:plotArea>
      <c:layout>
        <c:manualLayout>
          <c:layoutTarget val="inner"/>
          <c:xMode val="edge"/>
          <c:yMode val="edge"/>
          <c:x val="7.1988407699037624E-2"/>
          <c:y val="0.17971967862469329"/>
          <c:w val="0.82864807524059492"/>
          <c:h val="0.6640111739819079"/>
        </c:manualLayout>
      </c:layout>
      <c:barChart>
        <c:barDir val="col"/>
        <c:grouping val="clustered"/>
        <c:varyColors val="0"/>
        <c:ser>
          <c:idx val="0"/>
          <c:order val="0"/>
          <c:tx>
            <c:strRef>
              <c:f>居住世帯の有無!$B$29</c:f>
              <c:strCache>
                <c:ptCount val="1"/>
                <c:pt idx="0">
                  <c:v>空き家数：左目盛り</c:v>
                </c:pt>
              </c:strCache>
            </c:strRef>
          </c:tx>
          <c:spPr>
            <a:pattFill prst="pct50">
              <a:fgClr>
                <a:schemeClr val="accent5"/>
              </a:fgClr>
              <a:bgClr>
                <a:schemeClr val="bg1"/>
              </a:bgClr>
            </a:pattFill>
            <a:ln w="1905">
              <a:solidFill>
                <a:schemeClr val="tx1"/>
              </a:solidFill>
            </a:ln>
          </c:spPr>
          <c:invertIfNegative val="0"/>
          <c:cat>
            <c:strRef>
              <c:f>居住世帯の有無!$A$30:$A$41</c:f>
              <c:strCache>
                <c:ptCount val="12"/>
                <c:pt idx="0">
                  <c:v>昭和
38年</c:v>
                </c:pt>
                <c:pt idx="1">
                  <c:v>43年</c:v>
                </c:pt>
                <c:pt idx="2">
                  <c:v>48年</c:v>
                </c:pt>
                <c:pt idx="3">
                  <c:v>53年</c:v>
                </c:pt>
                <c:pt idx="4">
                  <c:v>58年</c:v>
                </c:pt>
                <c:pt idx="5">
                  <c:v>63年</c:v>
                </c:pt>
                <c:pt idx="6">
                  <c:v>平成
 5年</c:v>
                </c:pt>
                <c:pt idx="7">
                  <c:v>10年</c:v>
                </c:pt>
                <c:pt idx="8">
                  <c:v>15年</c:v>
                </c:pt>
                <c:pt idx="9">
                  <c:v>20年</c:v>
                </c:pt>
                <c:pt idx="10">
                  <c:v>25年</c:v>
                </c:pt>
                <c:pt idx="11">
                  <c:v>30年</c:v>
                </c:pt>
              </c:strCache>
            </c:strRef>
          </c:cat>
          <c:val>
            <c:numRef>
              <c:f>居住世帯の有無!$B$30:$B$41</c:f>
              <c:numCache>
                <c:formatCode>General</c:formatCode>
                <c:ptCount val="12"/>
                <c:pt idx="0">
                  <c:v>3.5</c:v>
                </c:pt>
                <c:pt idx="1">
                  <c:v>7.22</c:v>
                </c:pt>
                <c:pt idx="2">
                  <c:v>11</c:v>
                </c:pt>
                <c:pt idx="3">
                  <c:v>16.100000000000001</c:v>
                </c:pt>
                <c:pt idx="4">
                  <c:v>21.5</c:v>
                </c:pt>
                <c:pt idx="5">
                  <c:v>27.8</c:v>
                </c:pt>
                <c:pt idx="6">
                  <c:v>29.3</c:v>
                </c:pt>
                <c:pt idx="7">
                  <c:v>37.200000000000003</c:v>
                </c:pt>
                <c:pt idx="8">
                  <c:v>44.2</c:v>
                </c:pt>
                <c:pt idx="9">
                  <c:v>55.3</c:v>
                </c:pt>
                <c:pt idx="10">
                  <c:v>55.3</c:v>
                </c:pt>
                <c:pt idx="11">
                  <c:v>60.8</c:v>
                </c:pt>
              </c:numCache>
            </c:numRef>
          </c:val>
          <c:extLst>
            <c:ext xmlns:c16="http://schemas.microsoft.com/office/drawing/2014/chart" uri="{C3380CC4-5D6E-409C-BE32-E72D297353CC}">
              <c16:uniqueId val="{00000000-46AA-484C-99C0-F7F9E591D9FF}"/>
            </c:ext>
          </c:extLst>
        </c:ser>
        <c:dLbls>
          <c:showLegendKey val="0"/>
          <c:showVal val="0"/>
          <c:showCatName val="0"/>
          <c:showSerName val="0"/>
          <c:showPercent val="0"/>
          <c:showBubbleSize val="0"/>
        </c:dLbls>
        <c:gapWidth val="100"/>
        <c:axId val="1"/>
        <c:axId val="2"/>
      </c:barChart>
      <c:lineChart>
        <c:grouping val="standard"/>
        <c:varyColors val="0"/>
        <c:ser>
          <c:idx val="1"/>
          <c:order val="1"/>
          <c:tx>
            <c:strRef>
              <c:f>居住世帯の有無!$C$29</c:f>
              <c:strCache>
                <c:ptCount val="1"/>
                <c:pt idx="0">
                  <c:v>空き家率：右目盛り</c:v>
                </c:pt>
              </c:strCache>
            </c:strRef>
          </c:tx>
          <c:spPr>
            <a:ln w="19050">
              <a:solidFill>
                <a:schemeClr val="tx1"/>
              </a:solidFill>
            </a:ln>
          </c:spPr>
          <c:marker>
            <c:symbol val="square"/>
            <c:size val="5"/>
            <c:spPr>
              <a:solidFill>
                <a:schemeClr val="tx1"/>
              </a:solidFill>
              <a:ln>
                <a:solidFill>
                  <a:schemeClr val="accent5"/>
                </a:solidFill>
              </a:ln>
            </c:spPr>
          </c:marker>
          <c:dLbls>
            <c:numFmt formatCode="#,##0.0_);[Red]\(#,##0.0\)" sourceLinked="0"/>
            <c:spPr>
              <a:solidFill>
                <a:schemeClr val="bg1"/>
              </a:solidFill>
            </c:spPr>
            <c:txPr>
              <a:bodyPr rot="0" horzOverflow="overflow" anchor="ctr" anchorCtr="1"/>
              <a:lstStyle/>
              <a:p>
                <a:pPr algn="ctr" rtl="0">
                  <a:defRPr sz="800">
                    <a:solidFill>
                      <a:schemeClr val="tx1"/>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居住世帯の有無!$A$30:$A$41</c:f>
              <c:strCache>
                <c:ptCount val="12"/>
                <c:pt idx="0">
                  <c:v>昭和
38年</c:v>
                </c:pt>
                <c:pt idx="1">
                  <c:v>43年</c:v>
                </c:pt>
                <c:pt idx="2">
                  <c:v>48年</c:v>
                </c:pt>
                <c:pt idx="3">
                  <c:v>53年</c:v>
                </c:pt>
                <c:pt idx="4">
                  <c:v>58年</c:v>
                </c:pt>
                <c:pt idx="5">
                  <c:v>63年</c:v>
                </c:pt>
                <c:pt idx="6">
                  <c:v>平成
 5年</c:v>
                </c:pt>
                <c:pt idx="7">
                  <c:v>10年</c:v>
                </c:pt>
                <c:pt idx="8">
                  <c:v>15年</c:v>
                </c:pt>
                <c:pt idx="9">
                  <c:v>20年</c:v>
                </c:pt>
                <c:pt idx="10">
                  <c:v>25年</c:v>
                </c:pt>
                <c:pt idx="11">
                  <c:v>30年</c:v>
                </c:pt>
              </c:strCache>
            </c:strRef>
          </c:cat>
          <c:val>
            <c:numRef>
              <c:f>居住世帯の有無!$C$30:$C$41</c:f>
              <c:numCache>
                <c:formatCode>General</c:formatCode>
                <c:ptCount val="12"/>
                <c:pt idx="0">
                  <c:v>1.3565891472868217</c:v>
                </c:pt>
                <c:pt idx="1">
                  <c:v>2.5072926795388248</c:v>
                </c:pt>
                <c:pt idx="2">
                  <c:v>3.5166240409207163</c:v>
                </c:pt>
                <c:pt idx="3">
                  <c:v>4.7619047619047619</c:v>
                </c:pt>
                <c:pt idx="4">
                  <c:v>6.0803167420814477</c:v>
                </c:pt>
                <c:pt idx="5">
                  <c:v>7.5257173795343801</c:v>
                </c:pt>
                <c:pt idx="6">
                  <c:v>7.6421491914449664</c:v>
                </c:pt>
                <c:pt idx="7">
                  <c:v>9.0007258649891124</c:v>
                </c:pt>
                <c:pt idx="8">
                  <c:v>10.312645823611758</c:v>
                </c:pt>
                <c:pt idx="9">
                  <c:v>12.64288980338363</c:v>
                </c:pt>
                <c:pt idx="10">
                  <c:v>12.665025732826136</c:v>
                </c:pt>
                <c:pt idx="11">
                  <c:v>13.6414628673</c:v>
                </c:pt>
              </c:numCache>
            </c:numRef>
          </c:val>
          <c:smooth val="0"/>
          <c:extLst>
            <c:ext xmlns:c16="http://schemas.microsoft.com/office/drawing/2014/chart" uri="{C3380CC4-5D6E-409C-BE32-E72D297353CC}">
              <c16:uniqueId val="{00000001-46AA-484C-99C0-F7F9E591D9FF}"/>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1"/>
        <c:majorTickMark val="in"/>
        <c:minorTickMark val="none"/>
        <c:tickLblPos val="nextTo"/>
        <c:spPr>
          <a:ln>
            <a:solidFill>
              <a:schemeClr val="tx1"/>
            </a:solidFill>
          </a:ln>
        </c:spPr>
        <c:txPr>
          <a:bodyPr rot="0" horzOverflow="overflow" anchor="ctr" anchorCtr="1"/>
          <a:lstStyle/>
          <a:p>
            <a:pPr algn="ctr" rtl="0">
              <a:defRPr sz="800">
                <a:solidFill>
                  <a:schemeClr val="tx1"/>
                </a:solidFill>
              </a:defRPr>
            </a:pPr>
            <a:endParaRPr lang="ja-JP"/>
          </a:p>
        </c:txPr>
        <c:crossAx val="2"/>
        <c:crosses val="autoZero"/>
        <c:auto val="1"/>
        <c:lblAlgn val="ctr"/>
        <c:lblOffset val="100"/>
        <c:noMultiLvlLbl val="0"/>
      </c:catAx>
      <c:valAx>
        <c:axId val="2"/>
        <c:scaling>
          <c:orientation val="minMax"/>
          <c:max val="80"/>
        </c:scaling>
        <c:delete val="0"/>
        <c:axPos val="l"/>
        <c:majorGridlines>
          <c:spPr>
            <a:ln>
              <a:solidFill>
                <a:schemeClr val="tx1"/>
              </a:solidFill>
            </a:ln>
          </c:spPr>
        </c:majorGridlines>
        <c:numFmt formatCode="General" sourceLinked="1"/>
        <c:majorTickMark val="in"/>
        <c:minorTickMark val="none"/>
        <c:tickLblPos val="nextTo"/>
        <c:spPr>
          <a:ln>
            <a:solidFill>
              <a:schemeClr val="tx1"/>
            </a:solidFill>
          </a:ln>
        </c:spPr>
        <c:txPr>
          <a:bodyPr horzOverflow="overflow" anchor="ctr" anchorCtr="1"/>
          <a:lstStyle/>
          <a:p>
            <a:pPr algn="ctr" rtl="0">
              <a:defRPr sz="900">
                <a:solidFill>
                  <a:schemeClr val="tx1"/>
                </a:solidFill>
              </a:defRPr>
            </a:pPr>
            <a:endParaRPr lang="ja-JP"/>
          </a:p>
        </c:txPr>
        <c:crossAx val="1"/>
        <c:crosses val="autoZero"/>
        <c:crossBetween val="between"/>
        <c:majorUnit val="20"/>
      </c:valAx>
      <c:catAx>
        <c:axId val="11"/>
        <c:scaling>
          <c:orientation val="minMax"/>
        </c:scaling>
        <c:delete val="1"/>
        <c:axPos val="b"/>
        <c:numFmt formatCode="General" sourceLinked="1"/>
        <c:majorTickMark val="out"/>
        <c:minorTickMark val="none"/>
        <c:tickLblPos val="nextTo"/>
        <c:crossAx val="12"/>
        <c:crosses val="autoZero"/>
        <c:auto val="1"/>
        <c:lblAlgn val="ctr"/>
        <c:lblOffset val="100"/>
        <c:noMultiLvlLbl val="0"/>
      </c:catAx>
      <c:valAx>
        <c:axId val="12"/>
        <c:scaling>
          <c:orientation val="minMax"/>
        </c:scaling>
        <c:delete val="0"/>
        <c:axPos val="r"/>
        <c:numFmt formatCode="#,##0_);[Red]\(#,##0\)" sourceLinked="0"/>
        <c:majorTickMark val="in"/>
        <c:minorTickMark val="none"/>
        <c:tickLblPos val="nextTo"/>
        <c:spPr>
          <a:ln>
            <a:solidFill>
              <a:schemeClr val="tx1"/>
            </a:solidFill>
          </a:ln>
        </c:spPr>
        <c:txPr>
          <a:bodyPr horzOverflow="overflow" anchor="ctr" anchorCtr="1"/>
          <a:lstStyle/>
          <a:p>
            <a:pPr algn="ctr" rtl="0">
              <a:defRPr sz="900">
                <a:solidFill>
                  <a:schemeClr val="tx1"/>
                </a:solidFill>
              </a:defRPr>
            </a:pPr>
            <a:endParaRPr lang="ja-JP"/>
          </a:p>
        </c:txPr>
        <c:crossAx val="11"/>
        <c:crosses val="max"/>
        <c:crossBetween val="between"/>
      </c:valAx>
      <c:spPr>
        <a:ln>
          <a:solidFill>
            <a:schemeClr val="tx1"/>
          </a:solidFill>
        </a:ln>
      </c:spPr>
    </c:plotArea>
    <c:legend>
      <c:legendPos val="b"/>
      <c:layout>
        <c:manualLayout>
          <c:xMode val="edge"/>
          <c:yMode val="edge"/>
          <c:x val="7.9449054646612283E-2"/>
          <c:y val="0.1869567950712748"/>
          <c:w val="0.35882917985767243"/>
          <c:h val="0.13440049035786691"/>
        </c:manualLayout>
      </c:layout>
      <c:overlay val="0"/>
      <c:spPr>
        <a:ln w="3175">
          <a:solidFill>
            <a:schemeClr val="tx1"/>
          </a:solidFill>
        </a:ln>
      </c:spPr>
      <c:txPr>
        <a:bodyPr horzOverflow="overflow" anchor="ctr" anchorCtr="1"/>
        <a:lstStyle/>
        <a:p>
          <a:pPr algn="l" rtl="0">
            <a:defRPr sz="900">
              <a:solidFill>
                <a:schemeClr val="tx1"/>
              </a:solidFill>
            </a:defRPr>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horzOverflow="overflow" anchor="ctr" anchorCtr="1"/>
          <a:lstStyle/>
          <a:p>
            <a:pPr algn="ctr" rtl="0">
              <a:defRPr sz="800" i="0" u="none" strike="noStrike" baseline="0">
                <a:solidFill>
                  <a:schemeClr val="tx1"/>
                </a:solidFill>
              </a:defRPr>
            </a:pPr>
            <a:r>
              <a:rPr lang="ja-JP" altLang="en-US" sz="800" b="1" i="0" u="none" strike="noStrike" baseline="0">
                <a:solidFill>
                  <a:schemeClr val="tx1"/>
                </a:solidFill>
                <a:latin typeface="+mj-ea"/>
                <a:ea typeface="+mj-ea"/>
              </a:rPr>
              <a:t>図２－２　空き家の内訳－秋田県</a:t>
            </a:r>
            <a:endParaRPr lang="en-US" altLang="ja-JP" sz="800" b="1" i="0" u="none" strike="noStrike" baseline="0">
              <a:solidFill>
                <a:schemeClr val="tx1"/>
              </a:solidFill>
              <a:latin typeface="+mj-ea"/>
              <a:ea typeface="+mj-ea"/>
            </a:endParaRPr>
          </a:p>
          <a:p>
            <a:pPr algn="ctr" rtl="0">
              <a:defRPr sz="800" i="0" u="none" strike="noStrike" baseline="0">
                <a:solidFill>
                  <a:schemeClr val="tx1"/>
                </a:solidFill>
              </a:defRPr>
            </a:pPr>
            <a:r>
              <a:rPr lang="ja-JP" altLang="en-US" sz="800" b="1" i="0" u="none" strike="noStrike" baseline="0">
                <a:solidFill>
                  <a:schemeClr val="tx1"/>
                </a:solidFill>
                <a:latin typeface="+mj-ea"/>
                <a:ea typeface="+mj-ea"/>
              </a:rPr>
              <a:t>（平成</a:t>
            </a:r>
            <a:r>
              <a:rPr lang="en-US" altLang="ja-JP" sz="800" b="1" i="0" u="none" strike="noStrike" baseline="0">
                <a:solidFill>
                  <a:schemeClr val="tx1"/>
                </a:solidFill>
                <a:latin typeface="+mj-ea"/>
                <a:ea typeface="+mj-ea"/>
              </a:rPr>
              <a:t>30</a:t>
            </a:r>
            <a:r>
              <a:rPr lang="ja-JP" altLang="en-US" sz="800" b="1" i="0" u="none" strike="noStrike" baseline="0">
                <a:solidFill>
                  <a:schemeClr val="tx1"/>
                </a:solidFill>
                <a:latin typeface="+mj-ea"/>
                <a:ea typeface="+mj-ea"/>
              </a:rPr>
              <a:t>年）</a:t>
            </a:r>
          </a:p>
        </c:rich>
      </c:tx>
      <c:layout>
        <c:manualLayout>
          <c:xMode val="edge"/>
          <c:yMode val="edge"/>
          <c:x val="0.20729135128611748"/>
          <c:y val="0"/>
        </c:manualLayout>
      </c:layout>
      <c:overlay val="0"/>
    </c:title>
    <c:autoTitleDeleted val="0"/>
    <c:view3D>
      <c:rotX val="50"/>
      <c:rotY val="0"/>
      <c:depthPercent val="100"/>
      <c:rAngAx val="0"/>
    </c:view3D>
    <c:floor>
      <c:thickness val="0"/>
    </c:floor>
    <c:sideWall>
      <c:thickness val="0"/>
    </c:sideWall>
    <c:backWall>
      <c:thickness val="0"/>
    </c:backWall>
    <c:plotArea>
      <c:layout>
        <c:manualLayout>
          <c:layoutTarget val="inner"/>
          <c:xMode val="edge"/>
          <c:yMode val="edge"/>
          <c:x val="5.5248813410844852E-2"/>
          <c:y val="0.12422334845190577"/>
          <c:w val="0.67860082007603173"/>
          <c:h val="0.84848780694865977"/>
        </c:manualLayout>
      </c:layout>
      <c:pie3DChart>
        <c:varyColors val="1"/>
        <c:ser>
          <c:idx val="0"/>
          <c:order val="0"/>
          <c:tx>
            <c:strRef>
              <c:f>居住世帯の有無!$B$50</c:f>
              <c:strCache>
                <c:ptCount val="1"/>
                <c:pt idx="0">
                  <c:v>空き家の内訳（％）</c:v>
                </c:pt>
              </c:strCache>
            </c:strRef>
          </c:tx>
          <c:spPr>
            <a:ln w="3175">
              <a:solidFill>
                <a:schemeClr val="tx1"/>
              </a:solidFill>
            </a:ln>
            <a:scene3d>
              <a:camera prst="orthographicFront"/>
              <a:lightRig rig="threePt" dir="t"/>
            </a:scene3d>
            <a:sp3d>
              <a:contourClr>
                <a:srgbClr val="000000"/>
              </a:contourClr>
            </a:sp3d>
          </c:spPr>
          <c:explosion val="5"/>
          <c:dPt>
            <c:idx val="0"/>
            <c:bubble3D val="0"/>
            <c:spPr>
              <a:pattFill prst="ltUpDiag">
                <a:fgClr>
                  <a:schemeClr val="accent5"/>
                </a:fgClr>
                <a:bgClr>
                  <a:schemeClr val="bg1"/>
                </a:bgClr>
              </a:pattFill>
              <a:ln w="3175">
                <a:solidFill>
                  <a:schemeClr val="tx1"/>
                </a:solidFill>
              </a:ln>
              <a:scene3d>
                <a:camera prst="orthographicFront"/>
                <a:lightRig rig="threePt" dir="t"/>
              </a:scene3d>
              <a:sp3d>
                <a:contourClr>
                  <a:srgbClr val="000000"/>
                </a:contourClr>
              </a:sp3d>
            </c:spPr>
            <c:extLst>
              <c:ext xmlns:c16="http://schemas.microsoft.com/office/drawing/2014/chart" uri="{C3380CC4-5D6E-409C-BE32-E72D297353CC}">
                <c16:uniqueId val="{00000001-CAB1-41C5-923B-6E640906C3EE}"/>
              </c:ext>
            </c:extLst>
          </c:dPt>
          <c:dPt>
            <c:idx val="1"/>
            <c:bubble3D val="0"/>
            <c:spPr>
              <a:pattFill prst="dotDmnd">
                <a:fgClr>
                  <a:schemeClr val="accent5"/>
                </a:fgClr>
                <a:bgClr>
                  <a:schemeClr val="bg1"/>
                </a:bgClr>
              </a:pattFill>
              <a:ln w="3175">
                <a:solidFill>
                  <a:schemeClr val="tx1"/>
                </a:solidFill>
              </a:ln>
              <a:scene3d>
                <a:camera prst="orthographicFront"/>
                <a:lightRig rig="threePt" dir="t"/>
              </a:scene3d>
              <a:sp3d>
                <a:contourClr>
                  <a:srgbClr val="000000"/>
                </a:contourClr>
              </a:sp3d>
            </c:spPr>
            <c:extLst>
              <c:ext xmlns:c16="http://schemas.microsoft.com/office/drawing/2014/chart" uri="{C3380CC4-5D6E-409C-BE32-E72D297353CC}">
                <c16:uniqueId val="{00000003-CAB1-41C5-923B-6E640906C3EE}"/>
              </c:ext>
            </c:extLst>
          </c:dPt>
          <c:dPt>
            <c:idx val="2"/>
            <c:bubble3D val="0"/>
            <c:explosion val="0"/>
            <c:spPr>
              <a:pattFill prst="pct30">
                <a:fgClr>
                  <a:schemeClr val="accent5"/>
                </a:fgClr>
                <a:bgClr>
                  <a:schemeClr val="bg1"/>
                </a:bgClr>
              </a:pattFill>
              <a:ln w="3175">
                <a:solidFill>
                  <a:schemeClr val="tx1"/>
                </a:solidFill>
              </a:ln>
              <a:scene3d>
                <a:camera prst="orthographicFront"/>
                <a:lightRig rig="threePt" dir="t"/>
              </a:scene3d>
              <a:sp3d>
                <a:contourClr>
                  <a:srgbClr val="000000"/>
                </a:contourClr>
              </a:sp3d>
            </c:spPr>
            <c:extLst>
              <c:ext xmlns:c16="http://schemas.microsoft.com/office/drawing/2014/chart" uri="{C3380CC4-5D6E-409C-BE32-E72D297353CC}">
                <c16:uniqueId val="{00000005-CAB1-41C5-923B-6E640906C3EE}"/>
              </c:ext>
            </c:extLst>
          </c:dPt>
          <c:dPt>
            <c:idx val="3"/>
            <c:bubble3D val="0"/>
            <c:spPr>
              <a:pattFill prst="openDmnd">
                <a:fgClr>
                  <a:schemeClr val="accent5"/>
                </a:fgClr>
                <a:bgClr>
                  <a:schemeClr val="bg1"/>
                </a:bgClr>
              </a:pattFill>
              <a:ln w="3175">
                <a:solidFill>
                  <a:schemeClr val="tx1"/>
                </a:solidFill>
              </a:ln>
              <a:scene3d>
                <a:camera prst="orthographicFront"/>
                <a:lightRig rig="threePt" dir="t"/>
              </a:scene3d>
              <a:sp3d>
                <a:contourClr>
                  <a:srgbClr val="000000"/>
                </a:contourClr>
              </a:sp3d>
            </c:spPr>
            <c:extLst>
              <c:ext xmlns:c16="http://schemas.microsoft.com/office/drawing/2014/chart" uri="{C3380CC4-5D6E-409C-BE32-E72D297353CC}">
                <c16:uniqueId val="{00000007-CAB1-41C5-923B-6E640906C3EE}"/>
              </c:ext>
            </c:extLst>
          </c:dPt>
          <c:dLbls>
            <c:dLbl>
              <c:idx val="0"/>
              <c:layout>
                <c:manualLayout>
                  <c:x val="1.4115995917177019E-2"/>
                  <c:y val="-0.12207652402734076"/>
                </c:manualLayout>
              </c:layout>
              <c:numFmt formatCode="0.0%" sourceLinked="0"/>
              <c:spPr>
                <a:solidFill>
                  <a:schemeClr val="bg1"/>
                </a:solidFill>
              </c:spPr>
              <c:txPr>
                <a:bodyPr horzOverflow="overflow"/>
                <a:lstStyle/>
                <a:p>
                  <a:pPr>
                    <a:defRPr sz="800">
                      <a:solidFill>
                        <a:schemeClr val="tx1"/>
                      </a:solidFill>
                    </a:defRPr>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CAB1-41C5-923B-6E640906C3EE}"/>
                </c:ext>
              </c:extLst>
            </c:dLbl>
            <c:dLbl>
              <c:idx val="1"/>
              <c:layout>
                <c:manualLayout>
                  <c:x val="0.10134930008748906"/>
                  <c:y val="1.985973452090042E-2"/>
                </c:manualLayout>
              </c:layout>
              <c:numFmt formatCode="0.0%" sourceLinked="0"/>
              <c:spPr>
                <a:solidFill>
                  <a:schemeClr val="bg1"/>
                </a:solidFill>
              </c:spPr>
              <c:txPr>
                <a:bodyPr horzOverflow="overflow"/>
                <a:lstStyle/>
                <a:p>
                  <a:pPr>
                    <a:defRPr sz="800">
                      <a:solidFill>
                        <a:schemeClr val="tx1"/>
                      </a:solidFill>
                    </a:defRPr>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CAB1-41C5-923B-6E640906C3EE}"/>
                </c:ext>
              </c:extLst>
            </c:dLbl>
            <c:dLbl>
              <c:idx val="2"/>
              <c:layout>
                <c:manualLayout>
                  <c:x val="-0.13819043452901711"/>
                  <c:y val="0.14325191425820927"/>
                </c:manualLayout>
              </c:layout>
              <c:numFmt formatCode="0.0%" sourceLinked="0"/>
              <c:spPr>
                <a:noFill/>
                <a:ln>
                  <a:noFill/>
                </a:ln>
                <a:effectLst/>
              </c:spPr>
              <c:txPr>
                <a:bodyPr horzOverflow="overflow"/>
                <a:lstStyle/>
                <a:p>
                  <a:pPr>
                    <a:defRPr sz="800">
                      <a:solidFill>
                        <a:schemeClr val="tx1"/>
                      </a:solidFill>
                    </a:defRPr>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CAB1-41C5-923B-6E640906C3EE}"/>
                </c:ext>
              </c:extLst>
            </c:dLbl>
            <c:dLbl>
              <c:idx val="3"/>
              <c:layout>
                <c:manualLayout>
                  <c:x val="0.23123359580052494"/>
                  <c:y val="-0.13879273922681137"/>
                </c:manualLayout>
              </c:layout>
              <c:numFmt formatCode="0.0%" sourceLinked="0"/>
              <c:spPr>
                <a:solidFill>
                  <a:schemeClr val="bg1"/>
                </a:solidFill>
              </c:spPr>
              <c:txPr>
                <a:bodyPr horzOverflow="overflow"/>
                <a:lstStyle/>
                <a:p>
                  <a:pPr>
                    <a:defRPr sz="800">
                      <a:solidFill>
                        <a:schemeClr val="tx1"/>
                      </a:solidFill>
                    </a:defRPr>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CAB1-41C5-923B-6E640906C3EE}"/>
                </c:ext>
              </c:extLst>
            </c:dLbl>
            <c:numFmt formatCode="0.0%" sourceLinked="0"/>
            <c:spPr>
              <a:noFill/>
              <a:ln>
                <a:noFill/>
              </a:ln>
              <a:effectLst/>
            </c:spPr>
            <c:txPr>
              <a:bodyPr rot="0" horzOverflow="overflow" anchor="ctr" anchorCtr="1"/>
              <a:lstStyle/>
              <a:p>
                <a:pPr algn="ctr" rtl="0">
                  <a:defRPr sz="900">
                    <a:solidFill>
                      <a:schemeClr val="tx1"/>
                    </a:solidFill>
                  </a:defRPr>
                </a:pPr>
                <a:endParaRPr lang="ja-JP"/>
              </a:p>
            </c:tx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居住世帯の有無!$A$51:$A$54</c:f>
              <c:strCache>
                <c:ptCount val="4"/>
                <c:pt idx="0">
                  <c:v>賃貸用の住宅</c:v>
                </c:pt>
                <c:pt idx="1">
                  <c:v>二次的住宅</c:v>
                </c:pt>
                <c:pt idx="2">
                  <c:v>売却用の住宅</c:v>
                </c:pt>
                <c:pt idx="3">
                  <c:v>その他の住宅</c:v>
                </c:pt>
              </c:strCache>
            </c:strRef>
          </c:cat>
          <c:val>
            <c:numRef>
              <c:f>居住世帯の有無!$B$51:$B$54</c:f>
              <c:numCache>
                <c:formatCode>General</c:formatCode>
                <c:ptCount val="4"/>
                <c:pt idx="0">
                  <c:v>0.32236842105263158</c:v>
                </c:pt>
                <c:pt idx="1">
                  <c:v>1.9736842105263157E-2</c:v>
                </c:pt>
                <c:pt idx="2">
                  <c:v>1.6447368421052631E-2</c:v>
                </c:pt>
                <c:pt idx="3">
                  <c:v>0.63980263157894735</c:v>
                </c:pt>
              </c:numCache>
            </c:numRef>
          </c:val>
          <c:extLst>
            <c:ext xmlns:c16="http://schemas.microsoft.com/office/drawing/2014/chart" uri="{C3380CC4-5D6E-409C-BE32-E72D297353CC}">
              <c16:uniqueId val="{00000008-CAB1-41C5-923B-6E640906C3EE}"/>
            </c:ext>
          </c:extLst>
        </c:ser>
        <c:dLbls>
          <c:showLegendKey val="0"/>
          <c:showVal val="0"/>
          <c:showCatName val="0"/>
          <c:showSerName val="0"/>
          <c:showPercent val="0"/>
          <c:showBubbleSize val="0"/>
          <c:showLeaderLines val="1"/>
        </c:dLbls>
      </c:pie3DChart>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horzOverflow="overflow" anchor="t" anchorCtr="1"/>
          <a:lstStyle/>
          <a:p>
            <a:pPr algn="ctr" rtl="0">
              <a:defRPr kumimoji="0" sz="900" i="0" u="none" strike="noStrike" kern="1200" baseline="0">
                <a:solidFill>
                  <a:schemeClr val="tx1"/>
                </a:solidFill>
                <a:latin typeface="ＭＳ ゴシック" panose="020B0609070205080204" pitchFamily="49" charset="-128"/>
                <a:ea typeface="ＭＳ ゴシック" panose="020B0609070205080204" pitchFamily="49" charset="-128"/>
              </a:defRPr>
            </a:pPr>
            <a:r>
              <a:rPr kumimoji="0" lang="ja-JP" altLang="en-US" sz="900" b="1" i="0" u="none" strike="noStrike" kern="1200" baseline="0">
                <a:solidFill>
                  <a:schemeClr val="tx1"/>
                </a:solidFill>
                <a:latin typeface="ＭＳ ゴシック" panose="020B0609070205080204" pitchFamily="49" charset="-128"/>
                <a:ea typeface="ＭＳ ゴシック" panose="020B0609070205080204" pitchFamily="49" charset="-128"/>
              </a:rPr>
              <a:t>図２－３　都道府県別空き家率（平成</a:t>
            </a:r>
            <a:r>
              <a:rPr kumimoji="0" lang="en-US" altLang="ja-JP" sz="900" b="1" i="0" u="none" strike="noStrike" kern="1200" baseline="0">
                <a:solidFill>
                  <a:schemeClr val="tx1"/>
                </a:solidFill>
                <a:latin typeface="ＭＳ ゴシック" panose="020B0609070205080204" pitchFamily="49" charset="-128"/>
                <a:ea typeface="ＭＳ ゴシック" panose="020B0609070205080204" pitchFamily="49" charset="-128"/>
              </a:rPr>
              <a:t>30</a:t>
            </a:r>
            <a:r>
              <a:rPr kumimoji="0" lang="ja-JP" altLang="en-US" sz="900" b="1" i="0" u="none" strike="noStrike" kern="1200" baseline="0">
                <a:solidFill>
                  <a:schemeClr val="tx1"/>
                </a:solidFill>
                <a:latin typeface="ＭＳ ゴシック" panose="020B0609070205080204" pitchFamily="49" charset="-128"/>
                <a:ea typeface="ＭＳ ゴシック" panose="020B0609070205080204" pitchFamily="49" charset="-128"/>
              </a:rPr>
              <a:t>年）</a:t>
            </a:r>
          </a:p>
        </c:rich>
      </c:tx>
      <c:overlay val="0"/>
    </c:title>
    <c:autoTitleDeleted val="0"/>
    <c:plotArea>
      <c:layout>
        <c:manualLayout>
          <c:layoutTarget val="inner"/>
          <c:xMode val="edge"/>
          <c:yMode val="edge"/>
          <c:x val="5.0787371667897617E-2"/>
          <c:y val="0.13479318734793189"/>
          <c:w val="0.89712876969067523"/>
          <c:h val="0.67946740234113068"/>
        </c:manualLayout>
      </c:layout>
      <c:barChart>
        <c:barDir val="col"/>
        <c:grouping val="clustered"/>
        <c:varyColors val="0"/>
        <c:ser>
          <c:idx val="0"/>
          <c:order val="0"/>
          <c:spPr>
            <a:solidFill>
              <a:schemeClr val="accent5"/>
            </a:solidFill>
            <a:ln>
              <a:noFill/>
            </a:ln>
          </c:spPr>
          <c:invertIfNegative val="0"/>
          <c:dPt>
            <c:idx val="12"/>
            <c:invertIfNegative val="0"/>
            <c:bubble3D val="0"/>
            <c:spPr>
              <a:solidFill>
                <a:schemeClr val="accent5"/>
              </a:solidFill>
              <a:ln w="3175">
                <a:noFill/>
              </a:ln>
            </c:spPr>
            <c:extLst>
              <c:ext xmlns:c16="http://schemas.microsoft.com/office/drawing/2014/chart" uri="{C3380CC4-5D6E-409C-BE32-E72D297353CC}">
                <c16:uniqueId val="{00000001-8A20-48AD-9AF0-A78E62E4DB6A}"/>
              </c:ext>
            </c:extLst>
          </c:dPt>
          <c:dPt>
            <c:idx val="31"/>
            <c:invertIfNegative val="0"/>
            <c:bubble3D val="0"/>
            <c:spPr>
              <a:solidFill>
                <a:schemeClr val="accent5"/>
              </a:solidFill>
              <a:ln w="3175">
                <a:noFill/>
              </a:ln>
            </c:spPr>
            <c:extLst>
              <c:ext xmlns:c16="http://schemas.microsoft.com/office/drawing/2014/chart" uri="{C3380CC4-5D6E-409C-BE32-E72D297353CC}">
                <c16:uniqueId val="{00000003-8A20-48AD-9AF0-A78E62E4DB6A}"/>
              </c:ext>
            </c:extLst>
          </c:dPt>
          <c:dPt>
            <c:idx val="32"/>
            <c:invertIfNegative val="0"/>
            <c:bubble3D val="0"/>
            <c:spPr>
              <a:pattFill prst="pct20">
                <a:fgClr>
                  <a:schemeClr val="accent5"/>
                </a:fgClr>
                <a:bgClr>
                  <a:schemeClr val="bg1"/>
                </a:bgClr>
              </a:pattFill>
              <a:ln>
                <a:solidFill>
                  <a:schemeClr val="tx1"/>
                </a:solidFill>
              </a:ln>
            </c:spPr>
            <c:extLst>
              <c:ext xmlns:c16="http://schemas.microsoft.com/office/drawing/2014/chart" uri="{C3380CC4-5D6E-409C-BE32-E72D297353CC}">
                <c16:uniqueId val="{00000005-8A20-48AD-9AF0-A78E62E4DB6A}"/>
              </c:ext>
            </c:extLst>
          </c:dPt>
          <c:dPt>
            <c:idx val="33"/>
            <c:invertIfNegative val="0"/>
            <c:bubble3D val="0"/>
            <c:spPr>
              <a:pattFill prst="ltUpDiag">
                <a:fgClr>
                  <a:schemeClr val="accent5"/>
                </a:fgClr>
                <a:bgClr>
                  <a:schemeClr val="bg1"/>
                </a:bgClr>
              </a:pattFill>
              <a:ln>
                <a:solidFill>
                  <a:schemeClr val="tx1"/>
                </a:solidFill>
              </a:ln>
            </c:spPr>
            <c:extLst>
              <c:ext xmlns:c16="http://schemas.microsoft.com/office/drawing/2014/chart" uri="{C3380CC4-5D6E-409C-BE32-E72D297353CC}">
                <c16:uniqueId val="{00000007-8A20-48AD-9AF0-A78E62E4DB6A}"/>
              </c:ext>
            </c:extLst>
          </c:dPt>
          <c:dPt>
            <c:idx val="35"/>
            <c:invertIfNegative val="0"/>
            <c:bubble3D val="0"/>
            <c:spPr>
              <a:solidFill>
                <a:schemeClr val="accent5"/>
              </a:solidFill>
              <a:ln w="3175">
                <a:noFill/>
              </a:ln>
            </c:spPr>
            <c:extLst>
              <c:ext xmlns:c16="http://schemas.microsoft.com/office/drawing/2014/chart" uri="{C3380CC4-5D6E-409C-BE32-E72D297353CC}">
                <c16:uniqueId val="{00000009-8A20-48AD-9AF0-A78E62E4DB6A}"/>
              </c:ext>
            </c:extLst>
          </c:dPt>
          <c:dPt>
            <c:idx val="37"/>
            <c:invertIfNegative val="0"/>
            <c:bubble3D val="0"/>
            <c:spPr>
              <a:solidFill>
                <a:schemeClr val="accent5"/>
              </a:solidFill>
              <a:ln w="3175">
                <a:noFill/>
              </a:ln>
            </c:spPr>
            <c:extLst>
              <c:ext xmlns:c16="http://schemas.microsoft.com/office/drawing/2014/chart" uri="{C3380CC4-5D6E-409C-BE32-E72D297353CC}">
                <c16:uniqueId val="{0000000B-8A20-48AD-9AF0-A78E62E4DB6A}"/>
              </c:ext>
            </c:extLst>
          </c:dPt>
          <c:dLbls>
            <c:dLbl>
              <c:idx val="32"/>
              <c:layout>
                <c:manualLayout>
                  <c:x val="-1.6498291458697856E-2"/>
                  <c:y val="-1.4780959492367378E-3"/>
                </c:manualLayout>
              </c:layout>
              <c:spPr/>
              <c:txPr>
                <a:bodyPr>
                  <a:spAutoFit/>
                </a:bodyPr>
                <a:lstStyle/>
                <a:p>
                  <a:pPr>
                    <a:defRPr sz="800">
                      <a:solidFill>
                        <a:schemeClr val="tx1"/>
                      </a:solidFill>
                      <a:latin typeface="+mj-ea"/>
                      <a:ea typeface="+mj-ea"/>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20-48AD-9AF0-A78E62E4DB6A}"/>
                </c:ext>
              </c:extLst>
            </c:dLbl>
            <c:dLbl>
              <c:idx val="33"/>
              <c:layout>
                <c:manualLayout>
                  <c:x val="1.2751661143883243E-2"/>
                  <c:y val="-4.2805107846685035E-4"/>
                </c:manualLayout>
              </c:layout>
              <c:spPr/>
              <c:txPr>
                <a:bodyPr>
                  <a:spAutoFit/>
                </a:bodyPr>
                <a:lstStyle/>
                <a:p>
                  <a:pPr>
                    <a:defRPr sz="800">
                      <a:solidFill>
                        <a:schemeClr val="tx1"/>
                      </a:solidFill>
                      <a:latin typeface="+mj-ea"/>
                      <a:ea typeface="+mj-ea"/>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A20-48AD-9AF0-A78E62E4DB6A}"/>
                </c:ext>
              </c:extLst>
            </c:dLbl>
            <c:spPr>
              <a:noFill/>
              <a:ln>
                <a:noFill/>
              </a:ln>
              <a:effectLst/>
            </c:spPr>
            <c:txPr>
              <a:bodyPr/>
              <a:lstStyle/>
              <a:p>
                <a:pPr>
                  <a:defRPr sz="800">
                    <a:latin typeface="+mj-ea"/>
                    <a:ea typeface="+mj-ea"/>
                  </a:defRPr>
                </a:pPr>
                <a:endParaRPr lang="ja-JP"/>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居住世帯の有無!$C$65:$C$112</c:f>
              <c:strCache>
                <c:ptCount val="48"/>
                <c:pt idx="0">
                  <c:v>山梨県</c:v>
                </c:pt>
                <c:pt idx="1">
                  <c:v>和歌山県</c:v>
                </c:pt>
                <c:pt idx="2">
                  <c:v>長野県</c:v>
                </c:pt>
                <c:pt idx="3">
                  <c:v>徳島県</c:v>
                </c:pt>
                <c:pt idx="4">
                  <c:v>高知県</c:v>
                </c:pt>
                <c:pt idx="5">
                  <c:v>鹿児島県</c:v>
                </c:pt>
                <c:pt idx="6">
                  <c:v>愛媛県</c:v>
                </c:pt>
                <c:pt idx="7">
                  <c:v>香川県</c:v>
                </c:pt>
                <c:pt idx="8">
                  <c:v>山口県</c:v>
                </c:pt>
                <c:pt idx="9">
                  <c:v>栃木県</c:v>
                </c:pt>
                <c:pt idx="10">
                  <c:v>大分県</c:v>
                </c:pt>
                <c:pt idx="11">
                  <c:v>群馬県</c:v>
                </c:pt>
                <c:pt idx="12">
                  <c:v>静岡県</c:v>
                </c:pt>
                <c:pt idx="13">
                  <c:v>岩手県</c:v>
                </c:pt>
                <c:pt idx="14">
                  <c:v>岐阜県</c:v>
                </c:pt>
                <c:pt idx="15">
                  <c:v>岡山県</c:v>
                </c:pt>
                <c:pt idx="16">
                  <c:v>鳥取県</c:v>
                </c:pt>
                <c:pt idx="17">
                  <c:v>宮崎県</c:v>
                </c:pt>
                <c:pt idx="18">
                  <c:v>長崎県</c:v>
                </c:pt>
                <c:pt idx="19">
                  <c:v>島根県</c:v>
                </c:pt>
                <c:pt idx="20">
                  <c:v>三重県</c:v>
                </c:pt>
                <c:pt idx="21">
                  <c:v>大阪府</c:v>
                </c:pt>
                <c:pt idx="22">
                  <c:v>広島県</c:v>
                </c:pt>
                <c:pt idx="23">
                  <c:v>青森県</c:v>
                </c:pt>
                <c:pt idx="24">
                  <c:v>茨城県</c:v>
                </c:pt>
                <c:pt idx="25">
                  <c:v>新潟県</c:v>
                </c:pt>
                <c:pt idx="26">
                  <c:v>石川県</c:v>
                </c:pt>
                <c:pt idx="27">
                  <c:v>佐賀県</c:v>
                </c:pt>
                <c:pt idx="28">
                  <c:v>福島県</c:v>
                </c:pt>
                <c:pt idx="29">
                  <c:v>奈良県</c:v>
                </c:pt>
                <c:pt idx="30">
                  <c:v>福井県</c:v>
                </c:pt>
                <c:pt idx="31">
                  <c:v>熊本県</c:v>
                </c:pt>
                <c:pt idx="32">
                  <c:v>全国</c:v>
                </c:pt>
                <c:pt idx="33">
                  <c:v>秋田県</c:v>
                </c:pt>
                <c:pt idx="34">
                  <c:v>北海道</c:v>
                </c:pt>
                <c:pt idx="35">
                  <c:v>兵庫県</c:v>
                </c:pt>
                <c:pt idx="36">
                  <c:v>富山県</c:v>
                </c:pt>
                <c:pt idx="37">
                  <c:v>滋賀県</c:v>
                </c:pt>
                <c:pt idx="38">
                  <c:v>京都府</c:v>
                </c:pt>
                <c:pt idx="39">
                  <c:v>福岡県</c:v>
                </c:pt>
                <c:pt idx="40">
                  <c:v>千葉県</c:v>
                </c:pt>
                <c:pt idx="41">
                  <c:v>山形県</c:v>
                </c:pt>
                <c:pt idx="42">
                  <c:v>宮城県</c:v>
                </c:pt>
                <c:pt idx="43">
                  <c:v>愛知県</c:v>
                </c:pt>
                <c:pt idx="44">
                  <c:v>神奈川県</c:v>
                </c:pt>
                <c:pt idx="45">
                  <c:v>東京都</c:v>
                </c:pt>
                <c:pt idx="46">
                  <c:v>沖縄県</c:v>
                </c:pt>
                <c:pt idx="47">
                  <c:v>埼玉県</c:v>
                </c:pt>
              </c:strCache>
            </c:strRef>
          </c:cat>
          <c:val>
            <c:numRef>
              <c:f>居住世帯の有無!$D$65:$D$112</c:f>
              <c:numCache>
                <c:formatCode>0.0</c:formatCode>
                <c:ptCount val="48"/>
                <c:pt idx="0">
                  <c:v>21.327014218009481</c:v>
                </c:pt>
                <c:pt idx="1">
                  <c:v>20.280296784830998</c:v>
                </c:pt>
                <c:pt idx="2">
                  <c:v>19.575354697886695</c:v>
                </c:pt>
                <c:pt idx="3">
                  <c:v>19.46414499605989</c:v>
                </c:pt>
                <c:pt idx="4">
                  <c:v>19.050051072522983</c:v>
                </c:pt>
                <c:pt idx="5">
                  <c:v>18.990220604957926</c:v>
                </c:pt>
                <c:pt idx="6">
                  <c:v>18.171636567268653</c:v>
                </c:pt>
                <c:pt idx="7">
                  <c:v>18.084888250973961</c:v>
                </c:pt>
                <c:pt idx="8">
                  <c:v>17.613557438533128</c:v>
                </c:pt>
                <c:pt idx="9">
                  <c:v>17.341102838027407</c:v>
                </c:pt>
                <c:pt idx="10">
                  <c:v>16.792712272258509</c:v>
                </c:pt>
                <c:pt idx="11">
                  <c:v>16.680716543730242</c:v>
                </c:pt>
                <c:pt idx="12">
                  <c:v>16.422697848020064</c:v>
                </c:pt>
                <c:pt idx="13">
                  <c:v>16.140169169687553</c:v>
                </c:pt>
                <c:pt idx="14">
                  <c:v>15.639333258753776</c:v>
                </c:pt>
                <c:pt idx="15">
                  <c:v>15.551675215540762</c:v>
                </c:pt>
                <c:pt idx="16">
                  <c:v>15.549493374902573</c:v>
                </c:pt>
                <c:pt idx="17">
                  <c:v>15.409956076134701</c:v>
                </c:pt>
                <c:pt idx="18">
                  <c:v>15.390447308567095</c:v>
                </c:pt>
                <c:pt idx="19">
                  <c:v>15.372374283895606</c:v>
                </c:pt>
                <c:pt idx="20">
                  <c:v>15.18097692397798</c:v>
                </c:pt>
                <c:pt idx="21">
                  <c:v>15.157471902910133</c:v>
                </c:pt>
                <c:pt idx="22">
                  <c:v>15.069546375899909</c:v>
                </c:pt>
                <c:pt idx="23">
                  <c:v>14.972991222147197</c:v>
                </c:pt>
                <c:pt idx="24">
                  <c:v>14.839340808187224</c:v>
                </c:pt>
                <c:pt idx="25">
                  <c:v>14.700854700854702</c:v>
                </c:pt>
                <c:pt idx="26">
                  <c:v>14.520343411720789</c:v>
                </c:pt>
                <c:pt idx="27">
                  <c:v>14.342516330587902</c:v>
                </c:pt>
                <c:pt idx="28">
                  <c:v>14.338790200859167</c:v>
                </c:pt>
                <c:pt idx="29">
                  <c:v>14.119170984455959</c:v>
                </c:pt>
                <c:pt idx="30">
                  <c:v>13.829133374308544</c:v>
                </c:pt>
                <c:pt idx="31">
                  <c:v>13.751997050510015</c:v>
                </c:pt>
                <c:pt idx="32" formatCode="0.0_ ">
                  <c:v>13.601912593698826</c:v>
                </c:pt>
                <c:pt idx="33">
                  <c:v>13.641462867399595</c:v>
                </c:pt>
                <c:pt idx="34">
                  <c:v>13.529495582787119</c:v>
                </c:pt>
                <c:pt idx="35">
                  <c:v>13.435786489611697</c:v>
                </c:pt>
                <c:pt idx="36">
                  <c:v>13.256738842244808</c:v>
                </c:pt>
                <c:pt idx="37">
                  <c:v>12.971246006389775</c:v>
                </c:pt>
                <c:pt idx="38">
                  <c:v>12.837181498916536</c:v>
                </c:pt>
                <c:pt idx="39">
                  <c:v>12.730512939717961</c:v>
                </c:pt>
                <c:pt idx="40">
                  <c:v>12.624595682883358</c:v>
                </c:pt>
                <c:pt idx="41">
                  <c:v>12.071269487750556</c:v>
                </c:pt>
                <c:pt idx="42">
                  <c:v>11.980170751858992</c:v>
                </c:pt>
                <c:pt idx="43">
                  <c:v>11.310241828939056</c:v>
                </c:pt>
                <c:pt idx="44">
                  <c:v>10.762740091040301</c:v>
                </c:pt>
                <c:pt idx="45">
                  <c:v>10.557119766411178</c:v>
                </c:pt>
                <c:pt idx="46">
                  <c:v>10.404535703340484</c:v>
                </c:pt>
                <c:pt idx="47">
                  <c:v>10.228380654120011</c:v>
                </c:pt>
              </c:numCache>
            </c:numRef>
          </c:val>
          <c:extLst>
            <c:ext xmlns:c16="http://schemas.microsoft.com/office/drawing/2014/chart" uri="{C3380CC4-5D6E-409C-BE32-E72D297353CC}">
              <c16:uniqueId val="{0000000C-8A20-48AD-9AF0-A78E62E4DB6A}"/>
            </c:ext>
          </c:extLst>
        </c:ser>
        <c:dLbls>
          <c:showLegendKey val="0"/>
          <c:showVal val="0"/>
          <c:showCatName val="0"/>
          <c:showSerName val="0"/>
          <c:showPercent val="0"/>
          <c:showBubbleSize val="0"/>
        </c:dLbls>
        <c:gapWidth val="76"/>
        <c:axId val="140951936"/>
        <c:axId val="140953472"/>
      </c:barChart>
      <c:catAx>
        <c:axId val="140951936"/>
        <c:scaling>
          <c:orientation val="minMax"/>
        </c:scaling>
        <c:delete val="0"/>
        <c:axPos val="b"/>
        <c:numFmt formatCode="General" sourceLinked="1"/>
        <c:majorTickMark val="none"/>
        <c:minorTickMark val="none"/>
        <c:tickLblPos val="low"/>
        <c:spPr>
          <a:ln>
            <a:solidFill>
              <a:schemeClr val="tx1"/>
            </a:solidFill>
          </a:ln>
        </c:spPr>
        <c:txPr>
          <a:bodyPr horzOverflow="overflow" vert="eaVert" anchor="ctr" anchorCtr="1"/>
          <a:lstStyle/>
          <a:p>
            <a:pPr algn="ctr" rtl="0">
              <a:defRPr sz="700">
                <a:solidFill>
                  <a:schemeClr val="tx1"/>
                </a:solidFill>
                <a:latin typeface="ＭＳ ゴシック" panose="020B0609070205080204" pitchFamily="49" charset="-128"/>
                <a:ea typeface="ＭＳ ゴシック" panose="020B0609070205080204" pitchFamily="49" charset="-128"/>
              </a:defRPr>
            </a:pPr>
            <a:endParaRPr lang="ja-JP"/>
          </a:p>
        </c:txPr>
        <c:crossAx val="140953472"/>
        <c:crosses val="autoZero"/>
        <c:auto val="1"/>
        <c:lblAlgn val="ctr"/>
        <c:lblOffset val="100"/>
        <c:noMultiLvlLbl val="0"/>
      </c:catAx>
      <c:valAx>
        <c:axId val="140953472"/>
        <c:scaling>
          <c:orientation val="minMax"/>
        </c:scaling>
        <c:delete val="0"/>
        <c:axPos val="l"/>
        <c:majorGridlines>
          <c:spPr>
            <a:ln>
              <a:solidFill>
                <a:schemeClr val="tx1"/>
              </a:solidFill>
              <a:prstDash val="sysDot"/>
            </a:ln>
          </c:spPr>
        </c:majorGridlines>
        <c:numFmt formatCode="#,##0_);[Red]\(#,##0\)" sourceLinked="0"/>
        <c:majorTickMark val="in"/>
        <c:minorTickMark val="none"/>
        <c:tickLblPos val="nextTo"/>
        <c:spPr>
          <a:ln>
            <a:solidFill>
              <a:schemeClr val="tx1"/>
            </a:solidFill>
          </a:ln>
        </c:spPr>
        <c:txPr>
          <a:bodyPr horzOverflow="overflow" anchor="ctr" anchorCtr="1"/>
          <a:lstStyle/>
          <a:p>
            <a:pPr algn="ctr" rtl="0">
              <a:defRPr sz="800">
                <a:solidFill>
                  <a:schemeClr val="tx1"/>
                </a:solidFill>
              </a:defRPr>
            </a:pPr>
            <a:endParaRPr lang="ja-JP"/>
          </a:p>
        </c:txPr>
        <c:crossAx val="140951936"/>
        <c:crosses val="autoZero"/>
        <c:crossBetween val="between"/>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defRPr>
      </a:pPr>
      <a:endParaRPr lang="ja-JP"/>
    </a:p>
  </c:txPr>
  <c:externalData r:id="rId1">
    <c:autoUpdate val="0"/>
  </c:externalData>
  <c:userShapes r:id="rId2"/>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図３－１　住宅の種類別割合</a:t>
            </a:r>
            <a:endParaRPr lang="en-US" sz="900"/>
          </a:p>
          <a:p>
            <a:pPr algn="ctr" rtl="0">
              <a:defRPr sz="900"/>
            </a:pPr>
            <a:r>
              <a:rPr lang="ja-JP" sz="900"/>
              <a:t>（平成30年）</a:t>
            </a:r>
          </a:p>
        </c:rich>
      </c:tx>
      <c:layout>
        <c:manualLayout>
          <c:xMode val="edge"/>
          <c:yMode val="edge"/>
          <c:x val="0.24155586733126738"/>
          <c:y val="3.2748538011695909E-2"/>
        </c:manualLayout>
      </c:layout>
      <c:overlay val="0"/>
    </c:title>
    <c:autoTitleDeleted val="0"/>
    <c:plotArea>
      <c:layout>
        <c:manualLayout>
          <c:layoutTarget val="inner"/>
          <c:xMode val="edge"/>
          <c:yMode val="edge"/>
          <c:x val="0.19176423611111112"/>
          <c:y val="0.25149583333333331"/>
          <c:w val="0.61835625000000005"/>
          <c:h val="0.61835625000000005"/>
        </c:manualLayout>
      </c:layout>
      <c:doughnutChart>
        <c:varyColors val="1"/>
        <c:ser>
          <c:idx val="0"/>
          <c:order val="0"/>
          <c:tx>
            <c:strRef>
              <c:f>住宅の種類!$A$20</c:f>
              <c:strCache>
                <c:ptCount val="1"/>
                <c:pt idx="0">
                  <c:v>秋田県</c:v>
                </c:pt>
              </c:strCache>
            </c:strRef>
          </c:tx>
          <c:spPr>
            <a:ln w="3175">
              <a:solidFill>
                <a:schemeClr val="tx1"/>
              </a:solidFill>
            </a:ln>
          </c:spPr>
          <c:dPt>
            <c:idx val="0"/>
            <c:bubble3D val="0"/>
            <c:spPr>
              <a:pattFill prst="ltUpDiag">
                <a:fgClr>
                  <a:schemeClr val="accent5"/>
                </a:fgClr>
                <a:bgClr>
                  <a:schemeClr val="bg1"/>
                </a:bgClr>
              </a:pattFill>
              <a:ln w="3175">
                <a:solidFill>
                  <a:schemeClr val="tx1"/>
                </a:solidFill>
              </a:ln>
            </c:spPr>
            <c:extLst>
              <c:ext xmlns:c16="http://schemas.microsoft.com/office/drawing/2014/chart" uri="{C3380CC4-5D6E-409C-BE32-E72D297353CC}">
                <c16:uniqueId val="{00000001-CA89-4363-82E7-D4E2061644EA}"/>
              </c:ext>
            </c:extLst>
          </c:dPt>
          <c:dPt>
            <c:idx val="1"/>
            <c:bubble3D val="0"/>
            <c:spPr>
              <a:pattFill prst="pct20">
                <a:fgClr>
                  <a:schemeClr val="accent5"/>
                </a:fgClr>
                <a:bgClr>
                  <a:schemeClr val="bg1"/>
                </a:bgClr>
              </a:pattFill>
              <a:ln w="3175">
                <a:solidFill>
                  <a:schemeClr val="tx1"/>
                </a:solidFill>
              </a:ln>
            </c:spPr>
            <c:extLst>
              <c:ext xmlns:c16="http://schemas.microsoft.com/office/drawing/2014/chart" uri="{C3380CC4-5D6E-409C-BE32-E72D297353CC}">
                <c16:uniqueId val="{00000003-CA89-4363-82E7-D4E2061644EA}"/>
              </c:ext>
            </c:extLst>
          </c:dPt>
          <c:dPt>
            <c:idx val="2"/>
            <c:bubble3D val="0"/>
            <c:spPr>
              <a:pattFill prst="pct60">
                <a:fgClr>
                  <a:schemeClr val="accent1"/>
                </a:fgClr>
                <a:bgClr>
                  <a:schemeClr val="bg1"/>
                </a:bgClr>
              </a:pattFill>
              <a:ln w="3175">
                <a:solidFill>
                  <a:schemeClr val="tx1"/>
                </a:solidFill>
              </a:ln>
            </c:spPr>
            <c:extLst>
              <c:ext xmlns:c16="http://schemas.microsoft.com/office/drawing/2014/chart" uri="{C3380CC4-5D6E-409C-BE32-E72D297353CC}">
                <c16:uniqueId val="{00000005-CA89-4363-82E7-D4E2061644EA}"/>
              </c:ext>
            </c:extLst>
          </c:dPt>
          <c:dLbls>
            <c:dLbl>
              <c:idx val="0"/>
              <c:numFmt formatCode="0.0%" sourceLinked="0"/>
              <c:spPr>
                <a:solidFill>
                  <a:schemeClr val="bg1"/>
                </a:solidFill>
                <a:ln w="3175">
                  <a:solidFill>
                    <a:schemeClr val="tx1"/>
                  </a:solid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89-4363-82E7-D4E2061644EA}"/>
                </c:ext>
              </c:extLst>
            </c:dLbl>
            <c:dLbl>
              <c:idx val="1"/>
              <c:delete val="1"/>
              <c:extLst>
                <c:ext xmlns:c15="http://schemas.microsoft.com/office/drawing/2012/chart" uri="{CE6537A1-D6FC-4f65-9D91-7224C49458BB}"/>
                <c:ext xmlns:c16="http://schemas.microsoft.com/office/drawing/2014/chart" uri="{C3380CC4-5D6E-409C-BE32-E72D297353CC}">
                  <c16:uniqueId val="{00000003-CA89-4363-82E7-D4E2061644EA}"/>
                </c:ext>
              </c:extLst>
            </c:dLbl>
            <c:dLbl>
              <c:idx val="2"/>
              <c:delete val="1"/>
              <c:extLst>
                <c:ext xmlns:c15="http://schemas.microsoft.com/office/drawing/2012/chart" uri="{CE6537A1-D6FC-4f65-9D91-7224C49458BB}"/>
                <c:ext xmlns:c16="http://schemas.microsoft.com/office/drawing/2014/chart" uri="{C3380CC4-5D6E-409C-BE32-E72D297353CC}">
                  <c16:uniqueId val="{00000005-CA89-4363-82E7-D4E2061644EA}"/>
                </c:ext>
              </c:extLst>
            </c:dLbl>
            <c:numFmt formatCode="0.0%" sourceLinked="0"/>
            <c:spPr>
              <a:solidFill>
                <a:schemeClr val="bg1"/>
              </a:solidFill>
              <a:ln w="3175">
                <a:solidFill>
                  <a:schemeClr val="tx1"/>
                </a:solidFill>
              </a:ln>
            </c:spPr>
            <c:txPr>
              <a:bodyPr rot="0"/>
              <a:lstStyle/>
              <a:p>
                <a:pPr algn="ctr" rtl="0">
                  <a:defRPr/>
                </a:pPr>
                <a:endParaRPr lang="ja-JP"/>
              </a:p>
            </c:txPr>
            <c:showLegendKey val="0"/>
            <c:showVal val="1"/>
            <c:showCatName val="0"/>
            <c:showSerName val="0"/>
            <c:showPercent val="0"/>
            <c:showBubbleSize val="0"/>
            <c:separator>
</c:separator>
            <c:showLeaderLines val="1"/>
            <c:extLst>
              <c:ext xmlns:c15="http://schemas.microsoft.com/office/drawing/2012/chart" uri="{CE6537A1-D6FC-4f65-9D91-7224C49458BB}"/>
            </c:extLst>
          </c:dLbls>
          <c:cat>
            <c:strRef>
              <c:f>住宅の種類!$B$19:$C$19</c:f>
              <c:strCache>
                <c:ptCount val="2"/>
                <c:pt idx="0">
                  <c:v>専用住宅</c:v>
                </c:pt>
                <c:pt idx="1">
                  <c:v>店舗その他の併用住宅</c:v>
                </c:pt>
              </c:strCache>
            </c:strRef>
          </c:cat>
          <c:val>
            <c:numRef>
              <c:f>住宅の種類!$B$20:$C$20</c:f>
              <c:numCache>
                <c:formatCode>0.000</c:formatCode>
                <c:ptCount val="2"/>
                <c:pt idx="0" formatCode="0.00">
                  <c:v>0.96899999999999997</c:v>
                </c:pt>
                <c:pt idx="1">
                  <c:v>3.1E-2</c:v>
                </c:pt>
              </c:numCache>
            </c:numRef>
          </c:val>
          <c:extLst>
            <c:ext xmlns:c16="http://schemas.microsoft.com/office/drawing/2014/chart" uri="{C3380CC4-5D6E-409C-BE32-E72D297353CC}">
              <c16:uniqueId val="{00000006-CA89-4363-82E7-D4E2061644EA}"/>
            </c:ext>
          </c:extLst>
        </c:ser>
        <c:dLbls>
          <c:showLegendKey val="0"/>
          <c:showVal val="0"/>
          <c:showCatName val="0"/>
          <c:showSerName val="0"/>
          <c:showPercent val="0"/>
          <c:showBubbleSize val="0"/>
          <c:showLeaderLines val="1"/>
        </c:dLbls>
        <c:firstSliceAng val="0"/>
        <c:holeSize val="40"/>
      </c:doughnutChart>
    </c:plotArea>
    <c:legend>
      <c:legendPos val="b"/>
      <c:overlay val="0"/>
      <c:txPr>
        <a:bodyPr/>
        <a:lstStyle/>
        <a:p>
          <a:pPr algn="l" rtl="0">
            <a:defRPr sz="9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図３－２　住宅の種類別割合</a:t>
            </a:r>
            <a:endParaRPr lang="en-US" sz="900"/>
          </a:p>
          <a:p>
            <a:pPr algn="ctr" rtl="0">
              <a:defRPr sz="900"/>
            </a:pPr>
            <a:r>
              <a:rPr lang="ja-JP" sz="900"/>
              <a:t>（平成30年）</a:t>
            </a:r>
          </a:p>
        </c:rich>
      </c:tx>
      <c:layout>
        <c:manualLayout>
          <c:xMode val="edge"/>
          <c:yMode val="edge"/>
          <c:x val="0.18948674847985744"/>
          <c:y val="1.8827959519887031E-2"/>
        </c:manualLayout>
      </c:layout>
      <c:overlay val="0"/>
    </c:title>
    <c:autoTitleDeleted val="0"/>
    <c:plotArea>
      <c:layout>
        <c:manualLayout>
          <c:layoutTarget val="inner"/>
          <c:xMode val="edge"/>
          <c:yMode val="edge"/>
          <c:x val="0.19176423611111112"/>
          <c:y val="0.25149583333333331"/>
          <c:w val="0.61835625000000005"/>
          <c:h val="0.61835625000000005"/>
        </c:manualLayout>
      </c:layout>
      <c:doughnutChart>
        <c:varyColors val="1"/>
        <c:ser>
          <c:idx val="0"/>
          <c:order val="0"/>
          <c:tx>
            <c:strRef>
              <c:f>住宅の種類!$A$18</c:f>
              <c:strCache>
                <c:ptCount val="1"/>
                <c:pt idx="0">
                  <c:v>全国</c:v>
                </c:pt>
              </c:strCache>
            </c:strRef>
          </c:tx>
          <c:spPr>
            <a:ln w="3175">
              <a:solidFill>
                <a:schemeClr val="tx1"/>
              </a:solidFill>
            </a:ln>
          </c:spPr>
          <c:dPt>
            <c:idx val="0"/>
            <c:bubble3D val="0"/>
            <c:spPr>
              <a:pattFill prst="ltUpDiag">
                <a:fgClr>
                  <a:schemeClr val="accent5"/>
                </a:fgClr>
                <a:bgClr>
                  <a:schemeClr val="bg1"/>
                </a:bgClr>
              </a:pattFill>
              <a:ln w="3175">
                <a:solidFill>
                  <a:schemeClr val="tx1"/>
                </a:solidFill>
              </a:ln>
            </c:spPr>
            <c:extLst>
              <c:ext xmlns:c16="http://schemas.microsoft.com/office/drawing/2014/chart" uri="{C3380CC4-5D6E-409C-BE32-E72D297353CC}">
                <c16:uniqueId val="{00000001-767C-46C4-AE0E-29C7813B235C}"/>
              </c:ext>
            </c:extLst>
          </c:dPt>
          <c:dPt>
            <c:idx val="1"/>
            <c:bubble3D val="0"/>
            <c:spPr>
              <a:pattFill prst="pct20">
                <a:fgClr>
                  <a:schemeClr val="accent5"/>
                </a:fgClr>
                <a:bgClr>
                  <a:schemeClr val="bg1"/>
                </a:bgClr>
              </a:pattFill>
              <a:ln w="3175">
                <a:solidFill>
                  <a:schemeClr val="tx1"/>
                </a:solidFill>
              </a:ln>
            </c:spPr>
            <c:extLst>
              <c:ext xmlns:c16="http://schemas.microsoft.com/office/drawing/2014/chart" uri="{C3380CC4-5D6E-409C-BE32-E72D297353CC}">
                <c16:uniqueId val="{00000003-767C-46C4-AE0E-29C7813B235C}"/>
              </c:ext>
            </c:extLst>
          </c:dPt>
          <c:dPt>
            <c:idx val="2"/>
            <c:bubble3D val="0"/>
            <c:spPr>
              <a:pattFill prst="pct60">
                <a:fgClr>
                  <a:schemeClr val="accent1"/>
                </a:fgClr>
                <a:bgClr>
                  <a:schemeClr val="bg1"/>
                </a:bgClr>
              </a:pattFill>
              <a:ln w="3175">
                <a:solidFill>
                  <a:schemeClr val="tx1"/>
                </a:solidFill>
              </a:ln>
            </c:spPr>
            <c:extLst>
              <c:ext xmlns:c16="http://schemas.microsoft.com/office/drawing/2014/chart" uri="{C3380CC4-5D6E-409C-BE32-E72D297353CC}">
                <c16:uniqueId val="{00000005-767C-46C4-AE0E-29C7813B235C}"/>
              </c:ext>
            </c:extLst>
          </c:dPt>
          <c:dLbls>
            <c:dLbl>
              <c:idx val="0"/>
              <c:numFmt formatCode="0.0%" sourceLinked="0"/>
              <c:spPr>
                <a:solidFill>
                  <a:schemeClr val="bg1"/>
                </a:solidFill>
                <a:ln w="3175">
                  <a:solidFill>
                    <a:schemeClr val="tx1"/>
                  </a:solidFill>
                </a:ln>
              </c:spPr>
              <c:txPr>
                <a:bodyPr/>
                <a:lstStyle/>
                <a:p>
                  <a:pPr>
                    <a:defRPr sz="800">
                      <a:latin typeface="+mj-ea"/>
                      <a:ea typeface="+mj-ea"/>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7C-46C4-AE0E-29C7813B235C}"/>
                </c:ext>
              </c:extLst>
            </c:dLbl>
            <c:dLbl>
              <c:idx val="1"/>
              <c:delete val="1"/>
              <c:extLst>
                <c:ext xmlns:c15="http://schemas.microsoft.com/office/drawing/2012/chart" uri="{CE6537A1-D6FC-4f65-9D91-7224C49458BB}"/>
                <c:ext xmlns:c16="http://schemas.microsoft.com/office/drawing/2014/chart" uri="{C3380CC4-5D6E-409C-BE32-E72D297353CC}">
                  <c16:uniqueId val="{00000003-767C-46C4-AE0E-29C7813B235C}"/>
                </c:ext>
              </c:extLst>
            </c:dLbl>
            <c:dLbl>
              <c:idx val="2"/>
              <c:delete val="1"/>
              <c:extLst>
                <c:ext xmlns:c15="http://schemas.microsoft.com/office/drawing/2012/chart" uri="{CE6537A1-D6FC-4f65-9D91-7224C49458BB}"/>
                <c:ext xmlns:c16="http://schemas.microsoft.com/office/drawing/2014/chart" uri="{C3380CC4-5D6E-409C-BE32-E72D297353CC}">
                  <c16:uniqueId val="{00000005-767C-46C4-AE0E-29C7813B235C}"/>
                </c:ext>
              </c:extLst>
            </c:dLbl>
            <c:numFmt formatCode="0.0%" sourceLinked="0"/>
            <c:spPr>
              <a:solidFill>
                <a:schemeClr val="bg1"/>
              </a:solidFill>
              <a:ln w="3175">
                <a:solidFill>
                  <a:schemeClr val="tx1"/>
                </a:solidFill>
              </a:ln>
            </c:spPr>
            <c:txPr>
              <a:bodyPr rot="0"/>
              <a:lstStyle/>
              <a:p>
                <a:pPr algn="ctr" rtl="0">
                  <a:defRPr sz="800">
                    <a:latin typeface="+mj-ea"/>
                    <a:ea typeface="+mj-ea"/>
                  </a:defRPr>
                </a:pPr>
                <a:endParaRPr lang="ja-JP"/>
              </a:p>
            </c:txPr>
            <c:showLegendKey val="0"/>
            <c:showVal val="1"/>
            <c:showCatName val="0"/>
            <c:showSerName val="0"/>
            <c:showPercent val="0"/>
            <c:showBubbleSize val="0"/>
            <c:separator>
</c:separator>
            <c:showLeaderLines val="1"/>
            <c:extLst>
              <c:ext xmlns:c15="http://schemas.microsoft.com/office/drawing/2012/chart" uri="{CE6537A1-D6FC-4f65-9D91-7224C49458BB}"/>
            </c:extLst>
          </c:dLbls>
          <c:cat>
            <c:strRef>
              <c:f>住宅の種類!$B$17:$C$17</c:f>
              <c:strCache>
                <c:ptCount val="2"/>
                <c:pt idx="0">
                  <c:v>専用住宅</c:v>
                </c:pt>
                <c:pt idx="1">
                  <c:v>店舗その他の併用住宅</c:v>
                </c:pt>
              </c:strCache>
            </c:strRef>
          </c:cat>
          <c:val>
            <c:numRef>
              <c:f>住宅の種類!$B$18:$C$18</c:f>
              <c:numCache>
                <c:formatCode>0.000</c:formatCode>
                <c:ptCount val="2"/>
                <c:pt idx="0" formatCode="0.00">
                  <c:v>0.98199999999999998</c:v>
                </c:pt>
                <c:pt idx="1">
                  <c:v>1.7999999999999999E-2</c:v>
                </c:pt>
              </c:numCache>
            </c:numRef>
          </c:val>
          <c:extLst>
            <c:ext xmlns:c16="http://schemas.microsoft.com/office/drawing/2014/chart" uri="{C3380CC4-5D6E-409C-BE32-E72D297353CC}">
              <c16:uniqueId val="{00000006-767C-46C4-AE0E-29C7813B235C}"/>
            </c:ext>
          </c:extLst>
        </c:ser>
        <c:dLbls>
          <c:showLegendKey val="0"/>
          <c:showVal val="0"/>
          <c:showCatName val="0"/>
          <c:showSerName val="0"/>
          <c:showPercent val="0"/>
          <c:showBubbleSize val="0"/>
          <c:showLeaderLines val="1"/>
        </c:dLbls>
        <c:firstSliceAng val="0"/>
        <c:holeSize val="40"/>
      </c:doughnutChart>
    </c:plotArea>
    <c:legend>
      <c:legendPos val="b"/>
      <c:overlay val="0"/>
      <c:txPr>
        <a:bodyPr/>
        <a:lstStyle/>
        <a:p>
          <a:pPr algn="l" rtl="0">
            <a:defRPr sz="9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図４－１　住宅の建て方別割合－秋田県（昭和</a:t>
            </a:r>
            <a:r>
              <a:rPr lang="en-US" altLang="ja-JP" sz="900"/>
              <a:t>63</a:t>
            </a:r>
            <a:r>
              <a:rPr lang="ja-JP" sz="900"/>
              <a:t>年～平成30年）</a:t>
            </a:r>
          </a:p>
        </c:rich>
      </c:tx>
      <c:overlay val="0"/>
    </c:title>
    <c:autoTitleDeleted val="0"/>
    <c:plotArea>
      <c:layout>
        <c:manualLayout>
          <c:layoutTarget val="inner"/>
          <c:xMode val="edge"/>
          <c:yMode val="edge"/>
          <c:x val="0.13058393137117436"/>
          <c:y val="0.18419323021115272"/>
          <c:w val="0.81284154226099636"/>
          <c:h val="0.68886033162768601"/>
        </c:manualLayout>
      </c:layout>
      <c:barChart>
        <c:barDir val="bar"/>
        <c:grouping val="percentStacked"/>
        <c:varyColors val="0"/>
        <c:ser>
          <c:idx val="0"/>
          <c:order val="0"/>
          <c:tx>
            <c:strRef>
              <c:f>建て方!$B$16</c:f>
              <c:strCache>
                <c:ptCount val="1"/>
                <c:pt idx="0">
                  <c:v>一戸建</c:v>
                </c:pt>
              </c:strCache>
            </c:strRef>
          </c:tx>
          <c:spPr>
            <a:pattFill prst="pct30">
              <a:fgClr>
                <a:schemeClr val="accent5"/>
              </a:fgClr>
              <a:bgClr>
                <a:schemeClr val="bg1"/>
              </a:bgClr>
            </a:pattFill>
            <a:ln w="3175">
              <a:solidFill>
                <a:schemeClr val="tx1">
                  <a:shade val="95000"/>
                  <a:satMod val="105000"/>
                </a:schemeClr>
              </a:solidFill>
            </a:ln>
          </c:spPr>
          <c:invertIfNegative val="0"/>
          <c:dLbls>
            <c:numFmt formatCode="#,##0.0_);[Red]\(#,##0.0\)" sourceLinked="0"/>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建て方!$A$17:$A$23</c:f>
              <c:strCache>
                <c:ptCount val="7"/>
                <c:pt idx="0">
                  <c:v>30年</c:v>
                </c:pt>
                <c:pt idx="1">
                  <c:v>25年</c:v>
                </c:pt>
                <c:pt idx="2">
                  <c:v>20年</c:v>
                </c:pt>
                <c:pt idx="3">
                  <c:v>15年</c:v>
                </c:pt>
                <c:pt idx="4">
                  <c:v>10年</c:v>
                </c:pt>
                <c:pt idx="5">
                  <c:v>平成5年</c:v>
                </c:pt>
                <c:pt idx="6">
                  <c:v>昭和63年</c:v>
                </c:pt>
              </c:strCache>
            </c:strRef>
          </c:cat>
          <c:val>
            <c:numRef>
              <c:f>建て方!$B$17:$B$23</c:f>
              <c:numCache>
                <c:formatCode>0.0_ </c:formatCode>
                <c:ptCount val="7"/>
                <c:pt idx="0" formatCode="General">
                  <c:v>79.8</c:v>
                </c:pt>
                <c:pt idx="1">
                  <c:v>80.997685780406272</c:v>
                </c:pt>
                <c:pt idx="2">
                  <c:v>82.356034709439925</c:v>
                </c:pt>
                <c:pt idx="3">
                  <c:v>81.977504577556886</c:v>
                </c:pt>
                <c:pt idx="4">
                  <c:v>82.178217821782169</c:v>
                </c:pt>
                <c:pt idx="5">
                  <c:v>85.20204894706886</c:v>
                </c:pt>
                <c:pt idx="6">
                  <c:v>86.914235190097259</c:v>
                </c:pt>
              </c:numCache>
            </c:numRef>
          </c:val>
          <c:extLst>
            <c:ext xmlns:c16="http://schemas.microsoft.com/office/drawing/2014/chart" uri="{C3380CC4-5D6E-409C-BE32-E72D297353CC}">
              <c16:uniqueId val="{00000000-A09E-4EE7-9C8F-706C58680D14}"/>
            </c:ext>
          </c:extLst>
        </c:ser>
        <c:ser>
          <c:idx val="1"/>
          <c:order val="1"/>
          <c:tx>
            <c:strRef>
              <c:f>建て方!$C$16</c:f>
              <c:strCache>
                <c:ptCount val="1"/>
                <c:pt idx="0">
                  <c:v>長屋建</c:v>
                </c:pt>
              </c:strCache>
            </c:strRef>
          </c:tx>
          <c:spPr>
            <a:pattFill prst="pct20">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1-A09E-4EE7-9C8F-706C58680D14}"/>
              </c:ext>
            </c:extLst>
          </c:dPt>
          <c:dPt>
            <c:idx val="1"/>
            <c:invertIfNegative val="0"/>
            <c:bubble3D val="0"/>
            <c:extLst>
              <c:ext xmlns:c16="http://schemas.microsoft.com/office/drawing/2014/chart" uri="{C3380CC4-5D6E-409C-BE32-E72D297353CC}">
                <c16:uniqueId val="{00000002-A09E-4EE7-9C8F-706C58680D14}"/>
              </c:ext>
            </c:extLst>
          </c:dPt>
          <c:dPt>
            <c:idx val="2"/>
            <c:invertIfNegative val="0"/>
            <c:bubble3D val="0"/>
            <c:extLst>
              <c:ext xmlns:c16="http://schemas.microsoft.com/office/drawing/2014/chart" uri="{C3380CC4-5D6E-409C-BE32-E72D297353CC}">
                <c16:uniqueId val="{00000003-A09E-4EE7-9C8F-706C58680D14}"/>
              </c:ext>
            </c:extLst>
          </c:dPt>
          <c:dPt>
            <c:idx val="3"/>
            <c:invertIfNegative val="0"/>
            <c:bubble3D val="0"/>
            <c:extLst>
              <c:ext xmlns:c16="http://schemas.microsoft.com/office/drawing/2014/chart" uri="{C3380CC4-5D6E-409C-BE32-E72D297353CC}">
                <c16:uniqueId val="{00000004-A09E-4EE7-9C8F-706C58680D14}"/>
              </c:ext>
            </c:extLst>
          </c:dPt>
          <c:dPt>
            <c:idx val="4"/>
            <c:invertIfNegative val="0"/>
            <c:bubble3D val="0"/>
            <c:extLst>
              <c:ext xmlns:c16="http://schemas.microsoft.com/office/drawing/2014/chart" uri="{C3380CC4-5D6E-409C-BE32-E72D297353CC}">
                <c16:uniqueId val="{00000005-A09E-4EE7-9C8F-706C58680D14}"/>
              </c:ext>
            </c:extLst>
          </c:dPt>
          <c:dPt>
            <c:idx val="5"/>
            <c:invertIfNegative val="0"/>
            <c:bubble3D val="0"/>
            <c:extLst>
              <c:ext xmlns:c16="http://schemas.microsoft.com/office/drawing/2014/chart" uri="{C3380CC4-5D6E-409C-BE32-E72D297353CC}">
                <c16:uniqueId val="{00000006-A09E-4EE7-9C8F-706C58680D14}"/>
              </c:ext>
            </c:extLst>
          </c:dPt>
          <c:dLbls>
            <c:dLbl>
              <c:idx val="0"/>
              <c:layout>
                <c:manualLayout>
                  <c:x val="-2.4253472222222221E-2"/>
                  <c:y val="0"/>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9E-4EE7-9C8F-706C58680D14}"/>
                </c:ext>
              </c:extLst>
            </c:dLbl>
            <c:dLbl>
              <c:idx val="1"/>
              <c:layout>
                <c:manualLayout>
                  <c:x val="-2.7205034722222222E-2"/>
                  <c:y val="0"/>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9E-4EE7-9C8F-706C58680D14}"/>
                </c:ext>
              </c:extLst>
            </c:dLbl>
            <c:dLbl>
              <c:idx val="2"/>
              <c:layout>
                <c:manualLayout>
                  <c:x val="-2.8836805555555556E-2"/>
                  <c:y val="0"/>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9E-4EE7-9C8F-706C58680D14}"/>
                </c:ext>
              </c:extLst>
            </c:dLbl>
            <c:dLbl>
              <c:idx val="3"/>
              <c:layout>
                <c:manualLayout>
                  <c:x val="-2.8836805555555556E-2"/>
                  <c:y val="-3.4722222222222224E-7"/>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9E-4EE7-9C8F-706C58680D14}"/>
                </c:ext>
              </c:extLst>
            </c:dLbl>
            <c:dLbl>
              <c:idx val="4"/>
              <c:layout>
                <c:manualLayout>
                  <c:x val="-2.8836805555555556E-2"/>
                  <c:y val="4.409722222222222E-3"/>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9E-4EE7-9C8F-706C58680D14}"/>
                </c:ext>
              </c:extLst>
            </c:dLbl>
            <c:dLbl>
              <c:idx val="5"/>
              <c:layout>
                <c:manualLayout>
                  <c:x val="-3.3819444444444444E-2"/>
                  <c:y val="-4.409722222222222E-3"/>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9E-4EE7-9C8F-706C58680D14}"/>
                </c:ext>
              </c:extLst>
            </c:dLbl>
            <c:numFmt formatCode="#,##0.0_);[Red]\(#,##0.0\)" sourceLinked="0"/>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建て方!$A$17:$A$23</c:f>
              <c:strCache>
                <c:ptCount val="7"/>
                <c:pt idx="0">
                  <c:v>30年</c:v>
                </c:pt>
                <c:pt idx="1">
                  <c:v>25年</c:v>
                </c:pt>
                <c:pt idx="2">
                  <c:v>20年</c:v>
                </c:pt>
                <c:pt idx="3">
                  <c:v>15年</c:v>
                </c:pt>
                <c:pt idx="4">
                  <c:v>10年</c:v>
                </c:pt>
                <c:pt idx="5">
                  <c:v>平成5年</c:v>
                </c:pt>
                <c:pt idx="6">
                  <c:v>昭和63年</c:v>
                </c:pt>
              </c:strCache>
            </c:strRef>
          </c:cat>
          <c:val>
            <c:numRef>
              <c:f>建て方!$C$17:$C$23</c:f>
              <c:numCache>
                <c:formatCode>0.0_ </c:formatCode>
                <c:ptCount val="7"/>
                <c:pt idx="0" formatCode="General">
                  <c:v>2.2999999999999998</c:v>
                </c:pt>
                <c:pt idx="1">
                  <c:v>1.5685266135253277</c:v>
                </c:pt>
                <c:pt idx="2">
                  <c:v>2.0247173284249276</c:v>
                </c:pt>
                <c:pt idx="3">
                  <c:v>2.3803295840962595</c:v>
                </c:pt>
                <c:pt idx="4">
                  <c:v>2.4886272411024883</c:v>
                </c:pt>
                <c:pt idx="5">
                  <c:v>2.5327262379055209</c:v>
                </c:pt>
                <c:pt idx="6">
                  <c:v>3.389330975537872</c:v>
                </c:pt>
              </c:numCache>
            </c:numRef>
          </c:val>
          <c:extLst>
            <c:ext xmlns:c16="http://schemas.microsoft.com/office/drawing/2014/chart" uri="{C3380CC4-5D6E-409C-BE32-E72D297353CC}">
              <c16:uniqueId val="{00000007-A09E-4EE7-9C8F-706C58680D14}"/>
            </c:ext>
          </c:extLst>
        </c:ser>
        <c:ser>
          <c:idx val="2"/>
          <c:order val="2"/>
          <c:tx>
            <c:strRef>
              <c:f>建て方!$D$16</c:f>
              <c:strCache>
                <c:ptCount val="1"/>
                <c:pt idx="0">
                  <c:v>共同住宅</c:v>
                </c:pt>
              </c:strCache>
            </c:strRef>
          </c:tx>
          <c:spPr>
            <a:pattFill prst="openDmnd">
              <a:fgClr>
                <a:schemeClr val="accent5"/>
              </a:fgClr>
              <a:bgClr>
                <a:schemeClr val="bg1"/>
              </a:bgClr>
            </a:pattFill>
            <a:ln w="3175">
              <a:solidFill>
                <a:schemeClr val="tx1">
                  <a:shade val="95000"/>
                  <a:satMod val="105000"/>
                </a:schemeClr>
              </a:solidFill>
            </a:ln>
          </c:spPr>
          <c:invertIfNegative val="0"/>
          <c:dLbls>
            <c:dLbl>
              <c:idx val="0"/>
              <c:tx>
                <c:rich>
                  <a:bodyPr/>
                  <a:lstStyle/>
                  <a:p>
                    <a:r>
                      <a:rPr lang="en-US" altLang="en-US"/>
                      <a:t>17.8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2B7-431B-B71E-C21C27D9539B}"/>
                </c:ext>
              </c:extLst>
            </c:dLbl>
            <c:numFmt formatCode="#,##0.0_);[Red]\(#,##0.0\)" sourceLinked="0"/>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建て方!$A$17:$A$23</c:f>
              <c:strCache>
                <c:ptCount val="7"/>
                <c:pt idx="0">
                  <c:v>30年</c:v>
                </c:pt>
                <c:pt idx="1">
                  <c:v>25年</c:v>
                </c:pt>
                <c:pt idx="2">
                  <c:v>20年</c:v>
                </c:pt>
                <c:pt idx="3">
                  <c:v>15年</c:v>
                </c:pt>
                <c:pt idx="4">
                  <c:v>10年</c:v>
                </c:pt>
                <c:pt idx="5">
                  <c:v>平成5年</c:v>
                </c:pt>
                <c:pt idx="6">
                  <c:v>昭和63年</c:v>
                </c:pt>
              </c:strCache>
            </c:strRef>
          </c:cat>
          <c:val>
            <c:numRef>
              <c:f>建て方!$D$17:$D$23</c:f>
              <c:numCache>
                <c:formatCode>0.0_ </c:formatCode>
                <c:ptCount val="7"/>
                <c:pt idx="0" formatCode="General">
                  <c:v>17.7</c:v>
                </c:pt>
                <c:pt idx="1">
                  <c:v>17.249357326478147</c:v>
                </c:pt>
                <c:pt idx="2">
                  <c:v>15.356297659742307</c:v>
                </c:pt>
                <c:pt idx="3">
                  <c:v>15.380591158775831</c:v>
                </c:pt>
                <c:pt idx="4">
                  <c:v>15.03880117741504</c:v>
                </c:pt>
                <c:pt idx="5">
                  <c:v>12.009106431417187</c:v>
                </c:pt>
                <c:pt idx="6">
                  <c:v>9.3132920719127608</c:v>
                </c:pt>
              </c:numCache>
            </c:numRef>
          </c:val>
          <c:extLst>
            <c:ext xmlns:c16="http://schemas.microsoft.com/office/drawing/2014/chart" uri="{C3380CC4-5D6E-409C-BE32-E72D297353CC}">
              <c16:uniqueId val="{00000008-A09E-4EE7-9C8F-706C58680D14}"/>
            </c:ext>
          </c:extLst>
        </c:ser>
        <c:ser>
          <c:idx val="3"/>
          <c:order val="3"/>
          <c:tx>
            <c:strRef>
              <c:f>建て方!$E$16</c:f>
              <c:strCache>
                <c:ptCount val="1"/>
                <c:pt idx="0">
                  <c:v>その他</c:v>
                </c:pt>
              </c:strCache>
            </c:strRef>
          </c:tx>
          <c:spPr>
            <a:pattFill prst="pct40">
              <a:fgClr>
                <a:schemeClr val="accent1"/>
              </a:fgClr>
              <a:bgClr>
                <a:schemeClr val="bg1"/>
              </a:bgClr>
            </a:pattFill>
          </c:spPr>
          <c:invertIfNegative val="0"/>
          <c:cat>
            <c:strRef>
              <c:f>建て方!$A$17:$A$23</c:f>
              <c:strCache>
                <c:ptCount val="7"/>
                <c:pt idx="0">
                  <c:v>30年</c:v>
                </c:pt>
                <c:pt idx="1">
                  <c:v>25年</c:v>
                </c:pt>
                <c:pt idx="2">
                  <c:v>20年</c:v>
                </c:pt>
                <c:pt idx="3">
                  <c:v>15年</c:v>
                </c:pt>
                <c:pt idx="4">
                  <c:v>10年</c:v>
                </c:pt>
                <c:pt idx="5">
                  <c:v>平成5年</c:v>
                </c:pt>
                <c:pt idx="6">
                  <c:v>昭和63年</c:v>
                </c:pt>
              </c:strCache>
            </c:strRef>
          </c:cat>
          <c:val>
            <c:numRef>
              <c:f>建て方!$E$17:$E$23</c:f>
              <c:numCache>
                <c:formatCode>0.0_ </c:formatCode>
                <c:ptCount val="7"/>
                <c:pt idx="0" formatCode="General">
                  <c:v>0.2</c:v>
                </c:pt>
                <c:pt idx="1">
                  <c:v>0.15428130624839292</c:v>
                </c:pt>
                <c:pt idx="2">
                  <c:v>0.236655272153563</c:v>
                </c:pt>
                <c:pt idx="3">
                  <c:v>0.26157467957101754</c:v>
                </c:pt>
                <c:pt idx="4">
                  <c:v>0.29435375970029443</c:v>
                </c:pt>
                <c:pt idx="5">
                  <c:v>0.22766078542970969</c:v>
                </c:pt>
                <c:pt idx="6">
                  <c:v>0.38314176245210718</c:v>
                </c:pt>
              </c:numCache>
            </c:numRef>
          </c:val>
          <c:extLst>
            <c:ext xmlns:c16="http://schemas.microsoft.com/office/drawing/2014/chart" uri="{C3380CC4-5D6E-409C-BE32-E72D297353CC}">
              <c16:uniqueId val="{00000009-A09E-4EE7-9C8F-706C58680D14}"/>
            </c:ext>
          </c:extLst>
        </c:ser>
        <c:dLbls>
          <c:showLegendKey val="0"/>
          <c:showVal val="0"/>
          <c:showCatName val="0"/>
          <c:showSerName val="0"/>
          <c:showPercent val="0"/>
          <c:showBubbleSize val="0"/>
        </c:dLbls>
        <c:gapWidth val="40"/>
        <c:overlap val="100"/>
        <c:serLines>
          <c:spPr>
            <a:ln w="6350">
              <a:prstDash val="sysDot"/>
            </a:ln>
          </c:spPr>
        </c:serLines>
        <c:axId val="141291520"/>
        <c:axId val="141293056"/>
      </c:barChart>
      <c:catAx>
        <c:axId val="141291520"/>
        <c:scaling>
          <c:orientation val="minMax"/>
        </c:scaling>
        <c:delete val="0"/>
        <c:axPos val="l"/>
        <c:numFmt formatCode="General" sourceLinked="1"/>
        <c:majorTickMark val="in"/>
        <c:minorTickMark val="none"/>
        <c:tickLblPos val="nextTo"/>
        <c:spPr>
          <a:ln>
            <a:solidFill>
              <a:schemeClr val="tx1">
                <a:shade val="95000"/>
                <a:satMod val="105000"/>
              </a:schemeClr>
            </a:solidFill>
          </a:ln>
        </c:spPr>
        <c:txPr>
          <a:bodyPr/>
          <a:lstStyle/>
          <a:p>
            <a:pPr algn="ctr" rtl="0">
              <a:defRPr/>
            </a:pPr>
            <a:endParaRPr lang="ja-JP"/>
          </a:p>
        </c:txPr>
        <c:crossAx val="141293056"/>
        <c:crosses val="autoZero"/>
        <c:auto val="1"/>
        <c:lblAlgn val="ctr"/>
        <c:lblOffset val="100"/>
        <c:noMultiLvlLbl val="0"/>
      </c:catAx>
      <c:valAx>
        <c:axId val="141293056"/>
        <c:scaling>
          <c:orientation val="minMax"/>
        </c:scaling>
        <c:delete val="0"/>
        <c:axPos val="b"/>
        <c:numFmt formatCode="0%" sourceLinked="1"/>
        <c:majorTickMark val="cross"/>
        <c:minorTickMark val="none"/>
        <c:tickLblPos val="nextTo"/>
        <c:spPr>
          <a:ln>
            <a:solidFill>
              <a:schemeClr val="tx1">
                <a:shade val="95000"/>
                <a:satMod val="105000"/>
              </a:schemeClr>
            </a:solidFill>
          </a:ln>
        </c:spPr>
        <c:txPr>
          <a:bodyPr/>
          <a:lstStyle/>
          <a:p>
            <a:pPr algn="ctr" rtl="0">
              <a:defRPr/>
            </a:pPr>
            <a:endParaRPr lang="ja-JP"/>
          </a:p>
        </c:txPr>
        <c:crossAx val="141291520"/>
        <c:crosses val="autoZero"/>
        <c:crossBetween val="between"/>
        <c:majorUnit val="0.2"/>
        <c:minorUnit val="0.1"/>
      </c:valAx>
      <c:spPr>
        <a:ln w="3175">
          <a:solidFill>
            <a:schemeClr val="tx1"/>
          </a:solidFill>
        </a:ln>
      </c:spPr>
    </c:plotArea>
    <c:legend>
      <c:legendPos val="t"/>
      <c:overlay val="0"/>
      <c:spPr>
        <a:ln w="1905">
          <a:solidFill>
            <a:schemeClr val="tx1"/>
          </a:solidFill>
        </a:ln>
      </c:spPr>
      <c:txPr>
        <a:bodyPr/>
        <a:lstStyle/>
        <a:p>
          <a:pPr algn="l" rtl="0">
            <a:defRPr/>
          </a:pPr>
          <a:endParaRPr lang="ja-JP"/>
        </a:p>
      </c:txPr>
    </c:legend>
    <c:plotVisOnly val="1"/>
    <c:dispBlanksAs val="gap"/>
    <c:showDLblsOverMax val="0"/>
  </c:chart>
  <c:txPr>
    <a:bodyPr horzOverflow="overflow" anchor="ctr" anchorCtr="1"/>
    <a:lstStyle/>
    <a:p>
      <a:pPr algn="ctr" rtl="0">
        <a:defRPr lang="ja-JP" altLang="en-US" sz="800">
          <a:solidFill>
            <a:schemeClr val="tx1"/>
          </a:solidFill>
          <a:latin typeface="+mj-ea"/>
          <a:ea typeface="+mj-ea"/>
        </a:defRPr>
      </a:pPr>
      <a:endParaRPr lang="ja-JP"/>
    </a:p>
  </c:txPr>
  <c:externalData r:id="rId1">
    <c:autoUpdate val="0"/>
  </c:externalData>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図４－２　都道府県別一戸建率（平成</a:t>
            </a:r>
            <a:r>
              <a:rPr lang="en-US" altLang="ja-JP" sz="900"/>
              <a:t>30</a:t>
            </a:r>
            <a:r>
              <a:rPr lang="ja-JP" sz="900"/>
              <a:t>年）</a:t>
            </a:r>
          </a:p>
        </c:rich>
      </c:tx>
      <c:layout>
        <c:manualLayout>
          <c:xMode val="edge"/>
          <c:yMode val="edge"/>
          <c:x val="0.31674051301561851"/>
          <c:y val="1.827239060870816E-2"/>
        </c:manualLayout>
      </c:layout>
      <c:overlay val="0"/>
    </c:title>
    <c:autoTitleDeleted val="0"/>
    <c:plotArea>
      <c:layout>
        <c:manualLayout>
          <c:layoutTarget val="inner"/>
          <c:xMode val="edge"/>
          <c:yMode val="edge"/>
          <c:x val="5.7286244024254709E-2"/>
          <c:y val="0.1125098294032492"/>
          <c:w val="0.89403908909196572"/>
          <c:h val="0.69142019918743036"/>
        </c:manualLayout>
      </c:layout>
      <c:barChart>
        <c:barDir val="col"/>
        <c:grouping val="clustered"/>
        <c:varyColors val="0"/>
        <c:ser>
          <c:idx val="0"/>
          <c:order val="0"/>
          <c:spPr>
            <a:solidFill>
              <a:schemeClr val="accent5"/>
            </a:solidFill>
            <a:ln>
              <a:noFill/>
            </a:ln>
          </c:spPr>
          <c:invertIfNegative val="0"/>
          <c:dPt>
            <c:idx val="0"/>
            <c:invertIfNegative val="0"/>
            <c:bubble3D val="0"/>
            <c:spPr>
              <a:pattFill prst="ltUpDiag">
                <a:fgClr>
                  <a:schemeClr val="accent5"/>
                </a:fgClr>
                <a:bgClr>
                  <a:schemeClr val="bg1"/>
                </a:bgClr>
              </a:pattFill>
              <a:ln w="3175">
                <a:solidFill>
                  <a:schemeClr val="tx1">
                    <a:shade val="95000"/>
                    <a:satMod val="105000"/>
                  </a:schemeClr>
                </a:solidFill>
              </a:ln>
            </c:spPr>
            <c:extLst>
              <c:ext xmlns:c16="http://schemas.microsoft.com/office/drawing/2014/chart" uri="{C3380CC4-5D6E-409C-BE32-E72D297353CC}">
                <c16:uniqueId val="{00000001-996A-4854-B685-679D8914FC90}"/>
              </c:ext>
            </c:extLst>
          </c:dPt>
          <c:dPt>
            <c:idx val="12"/>
            <c:invertIfNegative val="0"/>
            <c:bubble3D val="0"/>
            <c:spPr>
              <a:solidFill>
                <a:schemeClr val="accent5"/>
              </a:solidFill>
              <a:ln w="3175">
                <a:noFill/>
              </a:ln>
            </c:spPr>
            <c:extLst>
              <c:ext xmlns:c16="http://schemas.microsoft.com/office/drawing/2014/chart" uri="{C3380CC4-5D6E-409C-BE32-E72D297353CC}">
                <c16:uniqueId val="{00000003-996A-4854-B685-679D8914FC90}"/>
              </c:ext>
            </c:extLst>
          </c:dPt>
          <c:dPt>
            <c:idx val="31"/>
            <c:invertIfNegative val="0"/>
            <c:bubble3D val="0"/>
            <c:spPr>
              <a:solidFill>
                <a:schemeClr val="accent5"/>
              </a:solidFill>
              <a:ln w="3175">
                <a:noFill/>
              </a:ln>
            </c:spPr>
            <c:extLst>
              <c:ext xmlns:c16="http://schemas.microsoft.com/office/drawing/2014/chart" uri="{C3380CC4-5D6E-409C-BE32-E72D297353CC}">
                <c16:uniqueId val="{00000005-996A-4854-B685-679D8914FC90}"/>
              </c:ext>
            </c:extLst>
          </c:dPt>
          <c:dPt>
            <c:idx val="35"/>
            <c:invertIfNegative val="0"/>
            <c:bubble3D val="0"/>
            <c:spPr>
              <a:solidFill>
                <a:schemeClr val="accent5"/>
              </a:solidFill>
              <a:ln w="3175">
                <a:noFill/>
              </a:ln>
            </c:spPr>
            <c:extLst>
              <c:ext xmlns:c16="http://schemas.microsoft.com/office/drawing/2014/chart" uri="{C3380CC4-5D6E-409C-BE32-E72D297353CC}">
                <c16:uniqueId val="{00000007-996A-4854-B685-679D8914FC90}"/>
              </c:ext>
            </c:extLst>
          </c:dPt>
          <c:dPt>
            <c:idx val="37"/>
            <c:invertIfNegative val="0"/>
            <c:bubble3D val="0"/>
            <c:spPr>
              <a:solidFill>
                <a:schemeClr val="accent5"/>
              </a:solidFill>
              <a:ln w="3175">
                <a:noFill/>
              </a:ln>
            </c:spPr>
            <c:extLst>
              <c:ext xmlns:c16="http://schemas.microsoft.com/office/drawing/2014/chart" uri="{C3380CC4-5D6E-409C-BE32-E72D297353CC}">
                <c16:uniqueId val="{00000009-996A-4854-B685-679D8914FC90}"/>
              </c:ext>
            </c:extLst>
          </c:dPt>
          <c:dPt>
            <c:idx val="38"/>
            <c:invertIfNegative val="0"/>
            <c:bubble3D val="0"/>
            <c:spPr>
              <a:pattFill prst="pct20">
                <a:fgClr>
                  <a:schemeClr val="accent5"/>
                </a:fgClr>
                <a:bgClr>
                  <a:schemeClr val="bg1"/>
                </a:bgClr>
              </a:pattFill>
              <a:ln w="3175">
                <a:solidFill>
                  <a:schemeClr val="tx1">
                    <a:shade val="95000"/>
                    <a:satMod val="105000"/>
                  </a:schemeClr>
                </a:solidFill>
              </a:ln>
            </c:spPr>
            <c:extLst>
              <c:ext xmlns:c16="http://schemas.microsoft.com/office/drawing/2014/chart" uri="{C3380CC4-5D6E-409C-BE32-E72D297353CC}">
                <c16:uniqueId val="{0000000B-996A-4854-B685-679D8914FC90}"/>
              </c:ext>
            </c:extLst>
          </c:dPt>
          <c:dLbls>
            <c:dLbl>
              <c:idx val="0"/>
              <c:layout>
                <c:manualLayout>
                  <c:x val="1.3719135802469137E-2"/>
                  <c:y val="4.7033333333333337E-3"/>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6A-4854-B685-679D8914FC90}"/>
                </c:ext>
              </c:extLst>
            </c:dLbl>
            <c:dLbl>
              <c:idx val="38"/>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96A-4854-B685-679D8914FC9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建て方!$C$45:$C$92</c:f>
              <c:strCache>
                <c:ptCount val="48"/>
                <c:pt idx="0">
                  <c:v>秋田県</c:v>
                </c:pt>
                <c:pt idx="1">
                  <c:v>山形県</c:v>
                </c:pt>
                <c:pt idx="2">
                  <c:v>富山県</c:v>
                </c:pt>
                <c:pt idx="3">
                  <c:v>福井県</c:v>
                </c:pt>
                <c:pt idx="4">
                  <c:v>青森県</c:v>
                </c:pt>
                <c:pt idx="5">
                  <c:v>岐阜県</c:v>
                </c:pt>
                <c:pt idx="6">
                  <c:v>新潟県</c:v>
                </c:pt>
                <c:pt idx="7">
                  <c:v>和歌山県</c:v>
                </c:pt>
                <c:pt idx="8">
                  <c:v>群馬県</c:v>
                </c:pt>
                <c:pt idx="9">
                  <c:v>山梨県</c:v>
                </c:pt>
                <c:pt idx="10">
                  <c:v>長野県</c:v>
                </c:pt>
                <c:pt idx="11">
                  <c:v>岩手県</c:v>
                </c:pt>
                <c:pt idx="12">
                  <c:v>三重県</c:v>
                </c:pt>
                <c:pt idx="13">
                  <c:v>茨城県</c:v>
                </c:pt>
                <c:pt idx="14">
                  <c:v>島根県</c:v>
                </c:pt>
                <c:pt idx="15">
                  <c:v>栃木県</c:v>
                </c:pt>
                <c:pt idx="16">
                  <c:v>鳥取県</c:v>
                </c:pt>
                <c:pt idx="17">
                  <c:v>徳島県</c:v>
                </c:pt>
                <c:pt idx="18">
                  <c:v>福島県</c:v>
                </c:pt>
                <c:pt idx="19">
                  <c:v>石川県</c:v>
                </c:pt>
                <c:pt idx="20">
                  <c:v>佐賀県</c:v>
                </c:pt>
                <c:pt idx="21">
                  <c:v>宮崎県</c:v>
                </c:pt>
                <c:pt idx="22">
                  <c:v>愛媛県</c:v>
                </c:pt>
                <c:pt idx="23">
                  <c:v>鹿児島県</c:v>
                </c:pt>
                <c:pt idx="24">
                  <c:v>奈良県</c:v>
                </c:pt>
                <c:pt idx="25">
                  <c:v>高知県</c:v>
                </c:pt>
                <c:pt idx="26">
                  <c:v>香川県</c:v>
                </c:pt>
                <c:pt idx="27">
                  <c:v>山口県</c:v>
                </c:pt>
                <c:pt idx="28">
                  <c:v>滋賀県</c:v>
                </c:pt>
                <c:pt idx="29">
                  <c:v>岡山県</c:v>
                </c:pt>
                <c:pt idx="30">
                  <c:v>静岡県</c:v>
                </c:pt>
                <c:pt idx="31">
                  <c:v>長崎県</c:v>
                </c:pt>
                <c:pt idx="32">
                  <c:v>熊本県</c:v>
                </c:pt>
                <c:pt idx="33">
                  <c:v>大分県</c:v>
                </c:pt>
                <c:pt idx="34">
                  <c:v>広島県</c:v>
                </c:pt>
                <c:pt idx="35">
                  <c:v>京都府</c:v>
                </c:pt>
                <c:pt idx="36">
                  <c:v>宮城県</c:v>
                </c:pt>
                <c:pt idx="37">
                  <c:v>埼玉県</c:v>
                </c:pt>
                <c:pt idx="38">
                  <c:v>全国</c:v>
                </c:pt>
                <c:pt idx="39">
                  <c:v>千葉県</c:v>
                </c:pt>
                <c:pt idx="40">
                  <c:v>北海道</c:v>
                </c:pt>
                <c:pt idx="41">
                  <c:v>愛知県</c:v>
                </c:pt>
                <c:pt idx="42">
                  <c:v>兵庫県</c:v>
                </c:pt>
                <c:pt idx="43">
                  <c:v>福岡県</c:v>
                </c:pt>
                <c:pt idx="44">
                  <c:v>神奈川県</c:v>
                </c:pt>
                <c:pt idx="45">
                  <c:v>大阪府</c:v>
                </c:pt>
                <c:pt idx="46">
                  <c:v>沖縄県</c:v>
                </c:pt>
                <c:pt idx="47">
                  <c:v>東京都</c:v>
                </c:pt>
              </c:strCache>
            </c:strRef>
          </c:cat>
          <c:val>
            <c:numRef>
              <c:f>建て方!$D$45:$D$92</c:f>
              <c:numCache>
                <c:formatCode>0.0</c:formatCode>
                <c:ptCount val="48"/>
                <c:pt idx="0">
                  <c:v>81</c:v>
                </c:pt>
                <c:pt idx="1">
                  <c:v>79.8</c:v>
                </c:pt>
                <c:pt idx="2">
                  <c:v>79.7</c:v>
                </c:pt>
                <c:pt idx="3">
                  <c:v>78.5</c:v>
                </c:pt>
                <c:pt idx="4">
                  <c:v>76.8</c:v>
                </c:pt>
                <c:pt idx="5">
                  <c:v>76.8</c:v>
                </c:pt>
                <c:pt idx="6">
                  <c:v>76.400000000000006</c:v>
                </c:pt>
                <c:pt idx="7">
                  <c:v>75.900000000000006</c:v>
                </c:pt>
                <c:pt idx="8">
                  <c:v>75.3</c:v>
                </c:pt>
                <c:pt idx="9">
                  <c:v>75.2</c:v>
                </c:pt>
                <c:pt idx="10">
                  <c:v>74.599999999999994</c:v>
                </c:pt>
                <c:pt idx="11">
                  <c:v>74.5</c:v>
                </c:pt>
                <c:pt idx="12">
                  <c:v>74.3</c:v>
                </c:pt>
                <c:pt idx="13">
                  <c:v>74</c:v>
                </c:pt>
                <c:pt idx="14">
                  <c:v>73.5</c:v>
                </c:pt>
                <c:pt idx="15">
                  <c:v>73.3</c:v>
                </c:pt>
                <c:pt idx="16">
                  <c:v>72.7</c:v>
                </c:pt>
                <c:pt idx="17">
                  <c:v>72.3</c:v>
                </c:pt>
                <c:pt idx="18">
                  <c:v>72.3</c:v>
                </c:pt>
                <c:pt idx="19">
                  <c:v>71.900000000000006</c:v>
                </c:pt>
                <c:pt idx="20">
                  <c:v>71.5</c:v>
                </c:pt>
                <c:pt idx="21">
                  <c:v>70.5</c:v>
                </c:pt>
                <c:pt idx="22">
                  <c:v>70</c:v>
                </c:pt>
                <c:pt idx="23">
                  <c:v>69.8</c:v>
                </c:pt>
                <c:pt idx="24">
                  <c:v>69.8</c:v>
                </c:pt>
                <c:pt idx="25">
                  <c:v>69.7</c:v>
                </c:pt>
                <c:pt idx="26">
                  <c:v>69.400000000000006</c:v>
                </c:pt>
                <c:pt idx="27">
                  <c:v>69</c:v>
                </c:pt>
                <c:pt idx="28">
                  <c:v>69</c:v>
                </c:pt>
                <c:pt idx="29">
                  <c:v>68.2</c:v>
                </c:pt>
                <c:pt idx="30">
                  <c:v>67.8</c:v>
                </c:pt>
                <c:pt idx="31">
                  <c:v>66.599999999999994</c:v>
                </c:pt>
                <c:pt idx="32">
                  <c:v>65.3</c:v>
                </c:pt>
                <c:pt idx="33">
                  <c:v>63.7</c:v>
                </c:pt>
                <c:pt idx="34">
                  <c:v>57.6</c:v>
                </c:pt>
                <c:pt idx="35">
                  <c:v>56.5</c:v>
                </c:pt>
                <c:pt idx="36">
                  <c:v>56.1</c:v>
                </c:pt>
                <c:pt idx="37">
                  <c:v>55.4</c:v>
                </c:pt>
                <c:pt idx="38">
                  <c:v>53.637792984596103</c:v>
                </c:pt>
                <c:pt idx="39">
                  <c:v>53.142076502732237</c:v>
                </c:pt>
                <c:pt idx="40">
                  <c:v>51.955145446269704</c:v>
                </c:pt>
                <c:pt idx="41">
                  <c:v>50.983969764107904</c:v>
                </c:pt>
                <c:pt idx="42">
                  <c:v>50.43530991467059</c:v>
                </c:pt>
                <c:pt idx="43">
                  <c:v>44.269763287181782</c:v>
                </c:pt>
                <c:pt idx="44">
                  <c:v>41.387500000000003</c:v>
                </c:pt>
                <c:pt idx="45">
                  <c:v>40.697792181486733</c:v>
                </c:pt>
                <c:pt idx="46">
                  <c:v>38.786828422876951</c:v>
                </c:pt>
                <c:pt idx="47">
                  <c:v>26.756300051428994</c:v>
                </c:pt>
              </c:numCache>
            </c:numRef>
          </c:val>
          <c:extLst>
            <c:ext xmlns:c16="http://schemas.microsoft.com/office/drawing/2014/chart" uri="{C3380CC4-5D6E-409C-BE32-E72D297353CC}">
              <c16:uniqueId val="{0000000C-996A-4854-B685-679D8914FC90}"/>
            </c:ext>
          </c:extLst>
        </c:ser>
        <c:dLbls>
          <c:showLegendKey val="0"/>
          <c:showVal val="0"/>
          <c:showCatName val="0"/>
          <c:showSerName val="0"/>
          <c:showPercent val="0"/>
          <c:showBubbleSize val="0"/>
        </c:dLbls>
        <c:gapWidth val="76"/>
        <c:axId val="141420032"/>
        <c:axId val="141421568"/>
      </c:barChart>
      <c:catAx>
        <c:axId val="141420032"/>
        <c:scaling>
          <c:orientation val="minMax"/>
        </c:scaling>
        <c:delete val="0"/>
        <c:axPos val="b"/>
        <c:numFmt formatCode="General" sourceLinked="1"/>
        <c:majorTickMark val="none"/>
        <c:minorTickMark val="none"/>
        <c:tickLblPos val="low"/>
        <c:spPr>
          <a:ln>
            <a:solidFill>
              <a:schemeClr val="tx1"/>
            </a:solidFill>
          </a:ln>
        </c:spPr>
        <c:txPr>
          <a:bodyPr vert="eaVert"/>
          <a:lstStyle/>
          <a:p>
            <a:pPr algn="ctr" rtl="0">
              <a:defRPr sz="800"/>
            </a:pPr>
            <a:endParaRPr lang="ja-JP"/>
          </a:p>
        </c:txPr>
        <c:crossAx val="141421568"/>
        <c:crosses val="autoZero"/>
        <c:auto val="1"/>
        <c:lblAlgn val="ctr"/>
        <c:lblOffset val="100"/>
        <c:noMultiLvlLbl val="0"/>
      </c:catAx>
      <c:valAx>
        <c:axId val="141421568"/>
        <c:scaling>
          <c:orientation val="minMax"/>
        </c:scaling>
        <c:delete val="0"/>
        <c:axPos val="l"/>
        <c:majorGridlines>
          <c:spPr>
            <a:ln>
              <a:solidFill>
                <a:schemeClr val="tx1"/>
              </a:solidFill>
              <a:prstDash val="sysDot"/>
            </a:ln>
          </c:spPr>
        </c:majorGridlines>
        <c:numFmt formatCode="#,##0_);[Red]\(#,##0\)" sourceLinked="0"/>
        <c:majorTickMark val="in"/>
        <c:minorTickMark val="none"/>
        <c:tickLblPos val="nextTo"/>
        <c:spPr>
          <a:ln>
            <a:solidFill>
              <a:schemeClr val="tx1"/>
            </a:solidFill>
          </a:ln>
        </c:spPr>
        <c:txPr>
          <a:bodyPr/>
          <a:lstStyle/>
          <a:p>
            <a:pPr algn="ctr" rtl="0">
              <a:defRPr sz="900"/>
            </a:pPr>
            <a:endParaRPr lang="ja-JP"/>
          </a:p>
        </c:txPr>
        <c:crossAx val="141420032"/>
        <c:crosses val="autoZero"/>
        <c:crossBetween val="between"/>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図４－３　都道府県別共同住宅率（平成</a:t>
            </a:r>
            <a:r>
              <a:rPr lang="en-US" altLang="ja-JP" sz="900"/>
              <a:t>30</a:t>
            </a:r>
            <a:r>
              <a:rPr lang="ja-JP" sz="900"/>
              <a:t>年）</a:t>
            </a:r>
          </a:p>
        </c:rich>
      </c:tx>
      <c:layout>
        <c:manualLayout>
          <c:xMode val="edge"/>
          <c:yMode val="edge"/>
          <c:x val="0.30161068238877886"/>
          <c:y val="1.7660044150110375E-2"/>
        </c:manualLayout>
      </c:layout>
      <c:overlay val="0"/>
    </c:title>
    <c:autoTitleDeleted val="0"/>
    <c:plotArea>
      <c:layout>
        <c:manualLayout>
          <c:layoutTarget val="inner"/>
          <c:xMode val="edge"/>
          <c:yMode val="edge"/>
          <c:x val="5.7286244024254709E-2"/>
          <c:y val="0.10436838804170497"/>
          <c:w val="0.89403908909196572"/>
          <c:h val="0.70612574090490343"/>
        </c:manualLayout>
      </c:layout>
      <c:barChart>
        <c:barDir val="col"/>
        <c:grouping val="clustered"/>
        <c:varyColors val="0"/>
        <c:ser>
          <c:idx val="0"/>
          <c:order val="0"/>
          <c:spPr>
            <a:solidFill>
              <a:schemeClr val="accent5"/>
            </a:solidFill>
            <a:ln>
              <a:solidFill>
                <a:schemeClr val="tx1"/>
              </a:solidFill>
            </a:ln>
          </c:spPr>
          <c:invertIfNegative val="0"/>
          <c:dPt>
            <c:idx val="8"/>
            <c:invertIfNegative val="0"/>
            <c:bubble3D val="0"/>
            <c:spPr>
              <a:solidFill>
                <a:schemeClr val="accent5"/>
              </a:solidFill>
              <a:ln w="3175">
                <a:solidFill>
                  <a:schemeClr val="tx1"/>
                </a:solidFill>
              </a:ln>
            </c:spPr>
            <c:extLst>
              <c:ext xmlns:c16="http://schemas.microsoft.com/office/drawing/2014/chart" uri="{C3380CC4-5D6E-409C-BE32-E72D297353CC}">
                <c16:uniqueId val="{00000001-2950-47F6-845D-8E870D691ED2}"/>
              </c:ext>
            </c:extLst>
          </c:dPt>
          <c:dPt>
            <c:idx val="9"/>
            <c:invertIfNegative val="0"/>
            <c:bubble3D val="0"/>
            <c:spPr>
              <a:pattFill prst="pct20">
                <a:fgClr>
                  <a:schemeClr val="accent5"/>
                </a:fgClr>
                <a:bgClr>
                  <a:schemeClr val="bg1"/>
                </a:bgClr>
              </a:pattFill>
              <a:ln>
                <a:solidFill>
                  <a:schemeClr val="tx1"/>
                </a:solidFill>
              </a:ln>
            </c:spPr>
            <c:extLst>
              <c:ext xmlns:c16="http://schemas.microsoft.com/office/drawing/2014/chart" uri="{C3380CC4-5D6E-409C-BE32-E72D297353CC}">
                <c16:uniqueId val="{00000003-2950-47F6-845D-8E870D691ED2}"/>
              </c:ext>
            </c:extLst>
          </c:dPt>
          <c:dPt>
            <c:idx val="12"/>
            <c:invertIfNegative val="0"/>
            <c:bubble3D val="0"/>
            <c:spPr>
              <a:solidFill>
                <a:schemeClr val="accent5"/>
              </a:solidFill>
              <a:ln w="3175">
                <a:solidFill>
                  <a:schemeClr val="tx1"/>
                </a:solidFill>
              </a:ln>
            </c:spPr>
            <c:extLst>
              <c:ext xmlns:c16="http://schemas.microsoft.com/office/drawing/2014/chart" uri="{C3380CC4-5D6E-409C-BE32-E72D297353CC}">
                <c16:uniqueId val="{00000005-2950-47F6-845D-8E870D691ED2}"/>
              </c:ext>
            </c:extLst>
          </c:dPt>
          <c:dPt>
            <c:idx val="31"/>
            <c:invertIfNegative val="0"/>
            <c:bubble3D val="0"/>
            <c:spPr>
              <a:solidFill>
                <a:schemeClr val="accent5"/>
              </a:solidFill>
              <a:ln w="3175">
                <a:solidFill>
                  <a:schemeClr val="tx1"/>
                </a:solidFill>
              </a:ln>
            </c:spPr>
            <c:extLst>
              <c:ext xmlns:c16="http://schemas.microsoft.com/office/drawing/2014/chart" uri="{C3380CC4-5D6E-409C-BE32-E72D297353CC}">
                <c16:uniqueId val="{00000007-2950-47F6-845D-8E870D691ED2}"/>
              </c:ext>
            </c:extLst>
          </c:dPt>
          <c:dPt>
            <c:idx val="35"/>
            <c:invertIfNegative val="0"/>
            <c:bubble3D val="0"/>
            <c:spPr>
              <a:solidFill>
                <a:schemeClr val="accent5"/>
              </a:solidFill>
              <a:ln w="3175">
                <a:solidFill>
                  <a:schemeClr val="tx1"/>
                </a:solidFill>
              </a:ln>
            </c:spPr>
            <c:extLst>
              <c:ext xmlns:c16="http://schemas.microsoft.com/office/drawing/2014/chart" uri="{C3380CC4-5D6E-409C-BE32-E72D297353CC}">
                <c16:uniqueId val="{00000009-2950-47F6-845D-8E870D691ED2}"/>
              </c:ext>
            </c:extLst>
          </c:dPt>
          <c:dPt>
            <c:idx val="37"/>
            <c:invertIfNegative val="0"/>
            <c:bubble3D val="0"/>
            <c:spPr>
              <a:solidFill>
                <a:schemeClr val="accent5"/>
              </a:solidFill>
              <a:ln w="3175">
                <a:solidFill>
                  <a:schemeClr val="tx1"/>
                </a:solidFill>
              </a:ln>
            </c:spPr>
            <c:extLst>
              <c:ext xmlns:c16="http://schemas.microsoft.com/office/drawing/2014/chart" uri="{C3380CC4-5D6E-409C-BE32-E72D297353CC}">
                <c16:uniqueId val="{0000000B-2950-47F6-845D-8E870D691ED2}"/>
              </c:ext>
            </c:extLst>
          </c:dPt>
          <c:dPt>
            <c:idx val="47"/>
            <c:invertIfNegative val="0"/>
            <c:bubble3D val="0"/>
            <c:spPr>
              <a:pattFill prst="ltUpDiag">
                <a:fgClr>
                  <a:schemeClr val="accent5"/>
                </a:fgClr>
                <a:bgClr>
                  <a:schemeClr val="bg1"/>
                </a:bgClr>
              </a:pattFill>
              <a:ln w="9525">
                <a:solidFill>
                  <a:schemeClr val="tx1"/>
                </a:solidFill>
              </a:ln>
            </c:spPr>
            <c:extLst>
              <c:ext xmlns:c16="http://schemas.microsoft.com/office/drawing/2014/chart" uri="{C3380CC4-5D6E-409C-BE32-E72D297353CC}">
                <c16:uniqueId val="{0000000D-2950-47F6-845D-8E870D691ED2}"/>
              </c:ext>
            </c:extLst>
          </c:dPt>
          <c:dLbls>
            <c:dLbl>
              <c:idx val="9"/>
              <c:spPr/>
              <c:txPr>
                <a:bodyPr/>
                <a:lstStyle/>
                <a:p>
                  <a:pPr>
                    <a:defRPr sz="900"/>
                  </a:pPr>
                  <a:endParaRPr lang="ja-JP"/>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50-47F6-845D-8E870D691ED2}"/>
                </c:ext>
              </c:extLst>
            </c:dLbl>
            <c:dLbl>
              <c:idx val="47"/>
              <c:spPr>
                <a:solidFill>
                  <a:schemeClr val="bg1"/>
                </a:solidFill>
              </c:spPr>
              <c:txPr>
                <a:bodyPr/>
                <a:lstStyle/>
                <a:p>
                  <a:pPr>
                    <a:defRPr sz="9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950-47F6-845D-8E870D691ED2}"/>
                </c:ext>
              </c:extLst>
            </c:dLbl>
            <c:spPr>
              <a:noFill/>
              <a:ln>
                <a:noFill/>
              </a:ln>
              <a:effectLst/>
            </c:spPr>
            <c:txPr>
              <a:bodyPr/>
              <a:lstStyle/>
              <a:p>
                <a:pPr>
                  <a:defRPr sz="900"/>
                </a:pPr>
                <a:endParaRPr lang="ja-JP"/>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建て方!$G$45:$G$92</c:f>
              <c:strCache>
                <c:ptCount val="48"/>
                <c:pt idx="0">
                  <c:v>東京都</c:v>
                </c:pt>
                <c:pt idx="1">
                  <c:v>沖縄県</c:v>
                </c:pt>
                <c:pt idx="2">
                  <c:v>神奈川県</c:v>
                </c:pt>
                <c:pt idx="3">
                  <c:v>大阪府</c:v>
                </c:pt>
                <c:pt idx="4">
                  <c:v>福岡県</c:v>
                </c:pt>
                <c:pt idx="5">
                  <c:v>兵庫県</c:v>
                </c:pt>
                <c:pt idx="6">
                  <c:v>愛知県</c:v>
                </c:pt>
                <c:pt idx="7">
                  <c:v>千葉県</c:v>
                </c:pt>
                <c:pt idx="8">
                  <c:v>北海道</c:v>
                </c:pt>
                <c:pt idx="9">
                  <c:v>全国</c:v>
                </c:pt>
                <c:pt idx="10">
                  <c:v>埼玉県</c:v>
                </c:pt>
                <c:pt idx="11">
                  <c:v>宮城県</c:v>
                </c:pt>
                <c:pt idx="12">
                  <c:v>京都府</c:v>
                </c:pt>
                <c:pt idx="13">
                  <c:v>広島県</c:v>
                </c:pt>
                <c:pt idx="14">
                  <c:v>大分県</c:v>
                </c:pt>
                <c:pt idx="15">
                  <c:v>熊本県</c:v>
                </c:pt>
                <c:pt idx="16">
                  <c:v>長崎県</c:v>
                </c:pt>
                <c:pt idx="17">
                  <c:v>静岡県</c:v>
                </c:pt>
                <c:pt idx="18">
                  <c:v>岡山県</c:v>
                </c:pt>
                <c:pt idx="19">
                  <c:v>滋賀県</c:v>
                </c:pt>
                <c:pt idx="20">
                  <c:v>鹿児島県</c:v>
                </c:pt>
                <c:pt idx="21">
                  <c:v>山口県</c:v>
                </c:pt>
                <c:pt idx="22">
                  <c:v>奈良県</c:v>
                </c:pt>
                <c:pt idx="23">
                  <c:v>愛媛県</c:v>
                </c:pt>
                <c:pt idx="24">
                  <c:v>宮崎県</c:v>
                </c:pt>
                <c:pt idx="25">
                  <c:v>高知県</c:v>
                </c:pt>
                <c:pt idx="26">
                  <c:v>香川県</c:v>
                </c:pt>
                <c:pt idx="27">
                  <c:v>石川県</c:v>
                </c:pt>
                <c:pt idx="28">
                  <c:v>佐賀県</c:v>
                </c:pt>
                <c:pt idx="29">
                  <c:v>福島県</c:v>
                </c:pt>
                <c:pt idx="30">
                  <c:v>徳島県</c:v>
                </c:pt>
                <c:pt idx="31">
                  <c:v>栃木県</c:v>
                </c:pt>
                <c:pt idx="32">
                  <c:v>鳥取県</c:v>
                </c:pt>
                <c:pt idx="33">
                  <c:v>島根県</c:v>
                </c:pt>
                <c:pt idx="34">
                  <c:v>茨城県</c:v>
                </c:pt>
                <c:pt idx="35">
                  <c:v>三重県</c:v>
                </c:pt>
                <c:pt idx="36">
                  <c:v>山梨県</c:v>
                </c:pt>
                <c:pt idx="37">
                  <c:v>群馬県</c:v>
                </c:pt>
                <c:pt idx="38">
                  <c:v>新潟県</c:v>
                </c:pt>
                <c:pt idx="39">
                  <c:v>岩手県</c:v>
                </c:pt>
                <c:pt idx="40">
                  <c:v>長野県</c:v>
                </c:pt>
                <c:pt idx="41">
                  <c:v>岐阜県</c:v>
                </c:pt>
                <c:pt idx="42">
                  <c:v>和歌山県</c:v>
                </c:pt>
                <c:pt idx="43">
                  <c:v>青森県</c:v>
                </c:pt>
                <c:pt idx="44">
                  <c:v>福井県</c:v>
                </c:pt>
                <c:pt idx="45">
                  <c:v>山形県</c:v>
                </c:pt>
                <c:pt idx="46">
                  <c:v>富山県</c:v>
                </c:pt>
                <c:pt idx="47">
                  <c:v>秋田県</c:v>
                </c:pt>
              </c:strCache>
            </c:strRef>
          </c:cat>
          <c:val>
            <c:numRef>
              <c:f>建て方!$H$45:$H$92</c:f>
              <c:numCache>
                <c:formatCode>0.0</c:formatCode>
                <c:ptCount val="48"/>
                <c:pt idx="0">
                  <c:v>71.117478510028647</c:v>
                </c:pt>
                <c:pt idx="1">
                  <c:v>59.029462738301561</c:v>
                </c:pt>
                <c:pt idx="2">
                  <c:v>56.05</c:v>
                </c:pt>
                <c:pt idx="3">
                  <c:v>55.354972655458781</c:v>
                </c:pt>
                <c:pt idx="4">
                  <c:v>52.7601607860652</c:v>
                </c:pt>
                <c:pt idx="5">
                  <c:v>46.606315242344174</c:v>
                </c:pt>
                <c:pt idx="6">
                  <c:v>45.836048481689041</c:v>
                </c:pt>
                <c:pt idx="7">
                  <c:v>44.755616272009711</c:v>
                </c:pt>
                <c:pt idx="8">
                  <c:v>43.778706500599988</c:v>
                </c:pt>
                <c:pt idx="9">
                  <c:v>43.555224810365509</c:v>
                </c:pt>
                <c:pt idx="10">
                  <c:v>43.459134058809909</c:v>
                </c:pt>
                <c:pt idx="11">
                  <c:v>42.376258389261743</c:v>
                </c:pt>
                <c:pt idx="12">
                  <c:v>41.944947795323152</c:v>
                </c:pt>
                <c:pt idx="13">
                  <c:v>41.288881535407015</c:v>
                </c:pt>
                <c:pt idx="14">
                  <c:v>34.039020340390202</c:v>
                </c:pt>
                <c:pt idx="15">
                  <c:v>32.688726543475148</c:v>
                </c:pt>
                <c:pt idx="16">
                  <c:v>31.84438040345821</c:v>
                </c:pt>
                <c:pt idx="17">
                  <c:v>31.836362360536103</c:v>
                </c:pt>
                <c:pt idx="18">
                  <c:v>30.670470756062766</c:v>
                </c:pt>
                <c:pt idx="19">
                  <c:v>30.257826887661142</c:v>
                </c:pt>
                <c:pt idx="20">
                  <c:v>29.605077574047954</c:v>
                </c:pt>
                <c:pt idx="21">
                  <c:v>29.069373942470389</c:v>
                </c:pt>
                <c:pt idx="22">
                  <c:v>28.922495274102079</c:v>
                </c:pt>
                <c:pt idx="23">
                  <c:v>28.723770209838325</c:v>
                </c:pt>
                <c:pt idx="24">
                  <c:v>28.531073446327682</c:v>
                </c:pt>
                <c:pt idx="25">
                  <c:v>28.440076093849083</c:v>
                </c:pt>
                <c:pt idx="26">
                  <c:v>28.420523138832998</c:v>
                </c:pt>
                <c:pt idx="27">
                  <c:v>28.395604395604394</c:v>
                </c:pt>
                <c:pt idx="28">
                  <c:v>27.405927405927404</c:v>
                </c:pt>
                <c:pt idx="29">
                  <c:v>26.808918068663658</c:v>
                </c:pt>
                <c:pt idx="30">
                  <c:v>26.367507369800197</c:v>
                </c:pt>
                <c:pt idx="31">
                  <c:v>25.912792224848964</c:v>
                </c:pt>
                <c:pt idx="32">
                  <c:v>25.371057513914657</c:v>
                </c:pt>
                <c:pt idx="33">
                  <c:v>25.009444654325652</c:v>
                </c:pt>
                <c:pt idx="34">
                  <c:v>24.729273921533817</c:v>
                </c:pt>
                <c:pt idx="35">
                  <c:v>24.611111111111111</c:v>
                </c:pt>
                <c:pt idx="36">
                  <c:v>24.240583232077764</c:v>
                </c:pt>
                <c:pt idx="37">
                  <c:v>23.887617594711415</c:v>
                </c:pt>
                <c:pt idx="38">
                  <c:v>23.617197678550276</c:v>
                </c:pt>
                <c:pt idx="39">
                  <c:v>23.449131513647643</c:v>
                </c:pt>
                <c:pt idx="40">
                  <c:v>23.25812050582693</c:v>
                </c:pt>
                <c:pt idx="41">
                  <c:v>23.084099693455951</c:v>
                </c:pt>
                <c:pt idx="42">
                  <c:v>22.115134149518102</c:v>
                </c:pt>
                <c:pt idx="43">
                  <c:v>21.335992023928217</c:v>
                </c:pt>
                <c:pt idx="44">
                  <c:v>21.195846759756535</c:v>
                </c:pt>
                <c:pt idx="45">
                  <c:v>20.473041709053916</c:v>
                </c:pt>
                <c:pt idx="46">
                  <c:v>19.723714504988486</c:v>
                </c:pt>
                <c:pt idx="47">
                  <c:v>17.769671704012506</c:v>
                </c:pt>
              </c:numCache>
            </c:numRef>
          </c:val>
          <c:extLst>
            <c:ext xmlns:c16="http://schemas.microsoft.com/office/drawing/2014/chart" uri="{C3380CC4-5D6E-409C-BE32-E72D297353CC}">
              <c16:uniqueId val="{0000000E-2950-47F6-845D-8E870D691ED2}"/>
            </c:ext>
          </c:extLst>
        </c:ser>
        <c:dLbls>
          <c:showLegendKey val="0"/>
          <c:showVal val="0"/>
          <c:showCatName val="0"/>
          <c:showSerName val="0"/>
          <c:showPercent val="0"/>
          <c:showBubbleSize val="0"/>
        </c:dLbls>
        <c:gapWidth val="76"/>
        <c:axId val="144359424"/>
        <c:axId val="144360960"/>
      </c:barChart>
      <c:catAx>
        <c:axId val="144359424"/>
        <c:scaling>
          <c:orientation val="minMax"/>
        </c:scaling>
        <c:delete val="0"/>
        <c:axPos val="b"/>
        <c:numFmt formatCode="General" sourceLinked="1"/>
        <c:majorTickMark val="none"/>
        <c:minorTickMark val="none"/>
        <c:tickLblPos val="low"/>
        <c:txPr>
          <a:bodyPr vert="eaVert"/>
          <a:lstStyle/>
          <a:p>
            <a:pPr algn="ctr" rtl="0">
              <a:defRPr sz="800"/>
            </a:pPr>
            <a:endParaRPr lang="ja-JP"/>
          </a:p>
        </c:txPr>
        <c:crossAx val="144360960"/>
        <c:crosses val="autoZero"/>
        <c:auto val="1"/>
        <c:lblAlgn val="ctr"/>
        <c:lblOffset val="100"/>
        <c:noMultiLvlLbl val="0"/>
      </c:catAx>
      <c:valAx>
        <c:axId val="144360960"/>
        <c:scaling>
          <c:orientation val="minMax"/>
        </c:scaling>
        <c:delete val="0"/>
        <c:axPos val="l"/>
        <c:majorGridlines>
          <c:spPr>
            <a:ln>
              <a:solidFill>
                <a:schemeClr val="tx1"/>
              </a:solidFill>
              <a:prstDash val="sysDot"/>
            </a:ln>
          </c:spPr>
        </c:majorGridlines>
        <c:numFmt formatCode="#,##0_);[Red]\(#,##0\)" sourceLinked="0"/>
        <c:majorTickMark val="in"/>
        <c:minorTickMark val="none"/>
        <c:tickLblPos val="nextTo"/>
        <c:spPr>
          <a:ln>
            <a:solidFill>
              <a:schemeClr val="tx1"/>
            </a:solidFill>
          </a:ln>
        </c:spPr>
        <c:txPr>
          <a:bodyPr/>
          <a:lstStyle/>
          <a:p>
            <a:pPr algn="ctr" rtl="0">
              <a:defRPr sz="900"/>
            </a:pPr>
            <a:endParaRPr lang="ja-JP"/>
          </a:p>
        </c:txPr>
        <c:crossAx val="144359424"/>
        <c:crosses val="autoZero"/>
        <c:crossBetween val="between"/>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l" rtl="0">
              <a:defRPr sz="900" i="0" u="none" strike="noStrike" baseline="0">
                <a:solidFill>
                  <a:schemeClr val="tx1"/>
                </a:solidFill>
              </a:defRPr>
            </a:pPr>
            <a:r>
              <a:rPr lang="ja-JP" altLang="en-US" sz="900" b="1" i="0" u="none" strike="noStrike" baseline="0">
                <a:solidFill>
                  <a:schemeClr val="tx1"/>
                </a:solidFill>
                <a:latin typeface="+mj-ea"/>
                <a:ea typeface="+mj-ea"/>
              </a:rPr>
              <a:t>住宅の建て方別割合－秋田県（平成</a:t>
            </a:r>
            <a:r>
              <a:rPr lang="en-US" altLang="ja-JP" sz="900" b="1" i="0" u="none" strike="noStrike" baseline="0">
                <a:solidFill>
                  <a:schemeClr val="tx1"/>
                </a:solidFill>
                <a:latin typeface="+mj-ea"/>
                <a:ea typeface="+mj-ea"/>
              </a:rPr>
              <a:t>30</a:t>
            </a:r>
            <a:r>
              <a:rPr lang="ja-JP" altLang="en-US" sz="900" b="1" i="0" u="none" strike="noStrike" baseline="0">
                <a:solidFill>
                  <a:schemeClr val="tx1"/>
                </a:solidFill>
                <a:latin typeface="+mj-ea"/>
                <a:ea typeface="+mj-ea"/>
              </a:rPr>
              <a:t>年）</a:t>
            </a:r>
          </a:p>
        </c:rich>
      </c:tx>
      <c:layout>
        <c:manualLayout>
          <c:xMode val="edge"/>
          <c:yMode val="edge"/>
          <c:x val="0.28529438828493686"/>
          <c:y val="6.9149083958012659E-3"/>
        </c:manualLayout>
      </c:layout>
      <c:overlay val="0"/>
    </c:title>
    <c:autoTitleDeleted val="0"/>
    <c:plotArea>
      <c:layout>
        <c:manualLayout>
          <c:layoutTarget val="inner"/>
          <c:xMode val="edge"/>
          <c:yMode val="edge"/>
          <c:x val="2.7638333333333334E-2"/>
          <c:y val="0.37192619047619047"/>
          <c:w val="0.93748962962962956"/>
          <c:h val="0.42622222222222239"/>
        </c:manualLayout>
      </c:layout>
      <c:barChart>
        <c:barDir val="bar"/>
        <c:grouping val="percentStacked"/>
        <c:varyColors val="0"/>
        <c:ser>
          <c:idx val="0"/>
          <c:order val="0"/>
          <c:tx>
            <c:strRef>
              <c:f>建て方!$B$16</c:f>
              <c:strCache>
                <c:ptCount val="1"/>
                <c:pt idx="0">
                  <c:v>一戸建</c:v>
                </c:pt>
              </c:strCache>
            </c:strRef>
          </c:tx>
          <c:spPr>
            <a:pattFill prst="pct30">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建て方!$A$17</c:f>
              <c:strCache>
                <c:ptCount val="1"/>
                <c:pt idx="0">
                  <c:v>30年</c:v>
                </c:pt>
              </c:strCache>
            </c:strRef>
          </c:cat>
          <c:val>
            <c:numRef>
              <c:f>建て方!$B$17</c:f>
              <c:numCache>
                <c:formatCode>General</c:formatCode>
                <c:ptCount val="1"/>
                <c:pt idx="0">
                  <c:v>79.8</c:v>
                </c:pt>
              </c:numCache>
            </c:numRef>
          </c:val>
          <c:extLst>
            <c:ext xmlns:c16="http://schemas.microsoft.com/office/drawing/2014/chart" uri="{C3380CC4-5D6E-409C-BE32-E72D297353CC}">
              <c16:uniqueId val="{00000000-8D64-4540-B55D-66DECC979262}"/>
            </c:ext>
          </c:extLst>
        </c:ser>
        <c:ser>
          <c:idx val="1"/>
          <c:order val="1"/>
          <c:tx>
            <c:strRef>
              <c:f>建て方!$C$16</c:f>
              <c:strCache>
                <c:ptCount val="1"/>
                <c:pt idx="0">
                  <c:v>長屋建</c:v>
                </c:pt>
              </c:strCache>
            </c:strRef>
          </c:tx>
          <c:spPr>
            <a:pattFill prst="pct20">
              <a:fgClr>
                <a:schemeClr val="accent5"/>
              </a:fgClr>
              <a:bgClr>
                <a:schemeClr val="bg1"/>
              </a:bgClr>
            </a:pattFill>
            <a:ln w="3175">
              <a:solidFill>
                <a:schemeClr val="tx1"/>
              </a:solidFill>
            </a:ln>
          </c:spPr>
          <c:invertIfNegative val="0"/>
          <c:cat>
            <c:strRef>
              <c:f>建て方!$A$17</c:f>
              <c:strCache>
                <c:ptCount val="1"/>
                <c:pt idx="0">
                  <c:v>30年</c:v>
                </c:pt>
              </c:strCache>
            </c:strRef>
          </c:cat>
          <c:val>
            <c:numRef>
              <c:f>建て方!$C$17</c:f>
              <c:numCache>
                <c:formatCode>General</c:formatCode>
                <c:ptCount val="1"/>
                <c:pt idx="0">
                  <c:v>2.2999999999999998</c:v>
                </c:pt>
              </c:numCache>
            </c:numRef>
          </c:val>
          <c:extLst>
            <c:ext xmlns:c16="http://schemas.microsoft.com/office/drawing/2014/chart" uri="{C3380CC4-5D6E-409C-BE32-E72D297353CC}">
              <c16:uniqueId val="{00000001-8D64-4540-B55D-66DECC979262}"/>
            </c:ext>
          </c:extLst>
        </c:ser>
        <c:ser>
          <c:idx val="2"/>
          <c:order val="2"/>
          <c:tx>
            <c:strRef>
              <c:f>建て方!$D$16</c:f>
              <c:strCache>
                <c:ptCount val="1"/>
                <c:pt idx="0">
                  <c:v>共同住宅</c:v>
                </c:pt>
              </c:strCache>
            </c:strRef>
          </c:tx>
          <c:spPr>
            <a:pattFill prst="openDmnd">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2-8D64-4540-B55D-66DECC979262}"/>
              </c:ext>
            </c:extLst>
          </c:dPt>
          <c:dLbls>
            <c:dLbl>
              <c:idx val="0"/>
              <c:tx>
                <c:rich>
                  <a:bodyPr horzOverflow="overflow"/>
                  <a:lstStyle/>
                  <a:p>
                    <a:pPr>
                      <a:defRPr sz="700">
                        <a:solidFill>
                          <a:schemeClr val="tx1"/>
                        </a:solidFill>
                      </a:defRPr>
                    </a:pPr>
                    <a:r>
                      <a:rPr lang="ja-JP" altLang="en-US" sz="700">
                        <a:solidFill>
                          <a:schemeClr val="tx1"/>
                        </a:solidFill>
                        <a:latin typeface="+mj-ea"/>
                        <a:ea typeface="+mj-ea"/>
                      </a:rPr>
                      <a:t>共同住宅 </a:t>
                    </a:r>
                    <a:r>
                      <a:rPr lang="en-US" altLang="ja-JP" sz="700">
                        <a:solidFill>
                          <a:schemeClr val="tx1"/>
                        </a:solidFill>
                        <a:latin typeface="+mj-ea"/>
                        <a:ea typeface="+mj-ea"/>
                      </a:rPr>
                      <a:t>17.8 </a:t>
                    </a:r>
                  </a:p>
                </c:rich>
              </c:tx>
              <c:numFmt formatCode="#,##0.0_);[Red]\(#,##0.0\)" sourceLinked="0"/>
              <c:spPr>
                <a:solidFill>
                  <a:schemeClr val="bg1"/>
                </a:solidFill>
              </c:spPr>
              <c:dLblPos val="ctr"/>
              <c:showLegendKey val="0"/>
              <c:showVal val="1"/>
              <c:showCatName val="0"/>
              <c:showSerName val="1"/>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2-8D64-4540-B55D-66DECC979262}"/>
                </c:ext>
              </c:extLst>
            </c:dLbl>
            <c:numFmt formatCode="#,##0.0_);[Red]\(#,##0.0\)" sourceLinked="0"/>
            <c:spPr>
              <a:solidFill>
                <a:schemeClr val="bg1"/>
              </a:solidFill>
            </c:spPr>
            <c:txPr>
              <a:bodyPr rot="0" horzOverflow="overflow" anchor="ctr" anchorCtr="1"/>
              <a:lstStyle/>
              <a:p>
                <a:pPr algn="ctr" rtl="0">
                  <a:defRPr sz="700">
                    <a:solidFill>
                      <a:schemeClr val="tx1"/>
                    </a:solidFill>
                  </a:defRPr>
                </a:pPr>
                <a:endParaRPr lang="ja-JP"/>
              </a:p>
            </c:txPr>
            <c:dLblPos val="inEnd"/>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建て方!$A$17</c:f>
              <c:strCache>
                <c:ptCount val="1"/>
                <c:pt idx="0">
                  <c:v>30年</c:v>
                </c:pt>
              </c:strCache>
            </c:strRef>
          </c:cat>
          <c:val>
            <c:numRef>
              <c:f>建て方!$D$17</c:f>
              <c:numCache>
                <c:formatCode>General</c:formatCode>
                <c:ptCount val="1"/>
                <c:pt idx="0">
                  <c:v>17.7</c:v>
                </c:pt>
              </c:numCache>
            </c:numRef>
          </c:val>
          <c:extLst>
            <c:ext xmlns:c16="http://schemas.microsoft.com/office/drawing/2014/chart" uri="{C3380CC4-5D6E-409C-BE32-E72D297353CC}">
              <c16:uniqueId val="{00000003-8D64-4540-B55D-66DECC979262}"/>
            </c:ext>
          </c:extLst>
        </c:ser>
        <c:ser>
          <c:idx val="3"/>
          <c:order val="3"/>
          <c:tx>
            <c:strRef>
              <c:f>建て方!$E$16</c:f>
              <c:strCache>
                <c:ptCount val="1"/>
                <c:pt idx="0">
                  <c:v>その他</c:v>
                </c:pt>
              </c:strCache>
            </c:strRef>
          </c:tx>
          <c:spPr>
            <a:pattFill prst="smCheck">
              <a:fgClr>
                <a:schemeClr val="accent1"/>
              </a:fgClr>
              <a:bgClr>
                <a:schemeClr val="bg1"/>
              </a:bgClr>
            </a:pattFill>
            <a:ln>
              <a:solidFill>
                <a:schemeClr val="tx1"/>
              </a:solidFill>
            </a:ln>
          </c:spPr>
          <c:invertIfNegative val="0"/>
          <c:cat>
            <c:strRef>
              <c:f>建て方!$A$17</c:f>
              <c:strCache>
                <c:ptCount val="1"/>
                <c:pt idx="0">
                  <c:v>30年</c:v>
                </c:pt>
              </c:strCache>
            </c:strRef>
          </c:cat>
          <c:val>
            <c:numRef>
              <c:f>建て方!$E$17</c:f>
              <c:numCache>
                <c:formatCode>General</c:formatCode>
                <c:ptCount val="1"/>
                <c:pt idx="0">
                  <c:v>0.2</c:v>
                </c:pt>
              </c:numCache>
            </c:numRef>
          </c:val>
          <c:extLst>
            <c:ext xmlns:c16="http://schemas.microsoft.com/office/drawing/2014/chart" uri="{C3380CC4-5D6E-409C-BE32-E72D297353CC}">
              <c16:uniqueId val="{00000004-8D64-4540-B55D-66DECC979262}"/>
            </c:ext>
          </c:extLst>
        </c:ser>
        <c:dLbls>
          <c:showLegendKey val="0"/>
          <c:showVal val="0"/>
          <c:showCatName val="0"/>
          <c:showSerName val="0"/>
          <c:showPercent val="0"/>
          <c:showBubbleSize val="0"/>
        </c:dLbls>
        <c:gapWidth val="40"/>
        <c:overlap val="100"/>
        <c:serLines>
          <c:spPr>
            <a:ln w="6350">
              <a:prstDash val="sysDot"/>
            </a:ln>
          </c:spPr>
        </c:serLines>
        <c:axId val="1"/>
        <c:axId val="2"/>
      </c:barChart>
      <c:catAx>
        <c:axId val="1"/>
        <c:scaling>
          <c:orientation val="minMax"/>
        </c:scaling>
        <c:delete val="1"/>
        <c:axPos val="l"/>
        <c:numFmt formatCode="General" sourceLinked="1"/>
        <c:majorTickMark val="out"/>
        <c:minorTickMark val="none"/>
        <c:tickLblPos val="nextTo"/>
        <c:crossAx val="2"/>
        <c:crosses val="autoZero"/>
        <c:auto val="1"/>
        <c:lblAlgn val="ctr"/>
        <c:lblOffset val="100"/>
        <c:noMultiLvlLbl val="0"/>
      </c:catAx>
      <c:valAx>
        <c:axId val="2"/>
        <c:scaling>
          <c:orientation val="minMax"/>
        </c:scaling>
        <c:delete val="0"/>
        <c:axPos val="b"/>
        <c:majorGridlines>
          <c:spPr>
            <a:ln>
              <a:prstDash val="sysDash"/>
            </a:ln>
          </c:spPr>
        </c:majorGridlines>
        <c:numFmt formatCode="0%" sourceLinked="1"/>
        <c:majorTickMark val="out"/>
        <c:minorTickMark val="in"/>
        <c:tickLblPos val="nextTo"/>
        <c:txPr>
          <a:bodyPr horzOverflow="overflow" anchor="ctr" anchorCtr="1"/>
          <a:lstStyle/>
          <a:p>
            <a:pPr algn="ctr" rtl="0">
              <a:defRPr sz="700">
                <a:solidFill>
                  <a:schemeClr val="tx1"/>
                </a:solidFill>
              </a:defRPr>
            </a:pPr>
            <a:endParaRPr lang="ja-JP"/>
          </a:p>
        </c:txPr>
        <c:crossAx val="1"/>
        <c:crosses val="autoZero"/>
        <c:crossBetween val="between"/>
        <c:majorUnit val="0.2"/>
        <c:minorUnit val="0.1"/>
      </c:valAx>
      <c:spPr>
        <a:ln w="3175">
          <a:solidFill>
            <a:schemeClr val="tx1">
              <a:tint val="75000"/>
              <a:shade val="95000"/>
              <a:satMod val="105000"/>
            </a:schemeClr>
          </a:solidFill>
        </a:ln>
      </c:spPr>
    </c:plotArea>
    <c:plotVisOnly val="1"/>
    <c:dispBlanksAs val="gap"/>
    <c:showDLblsOverMax val="0"/>
  </c:chart>
  <c:spPr>
    <a:ln>
      <a:solidFill>
        <a:sysClr val="windowText" lastClr="000000"/>
      </a:solidFill>
    </a:ln>
  </c:spPr>
  <c:txPr>
    <a:bodyPr horzOverflow="overflow" anchor="ctr" anchorCtr="1"/>
    <a:lstStyle/>
    <a:p>
      <a:pPr algn="ctr" rtl="0">
        <a:defRPr lang="ja-JP" altLang="en-US" sz="700">
          <a:solidFill>
            <a:schemeClr val="tx1"/>
          </a:solidFill>
          <a:latin typeface="+mj-ea"/>
          <a:ea typeface="+mj-ea"/>
        </a:defRPr>
      </a:pPr>
      <a:endParaRPr lang="ja-JP"/>
    </a:p>
  </c:txPr>
  <c:externalData r:id="rId2">
    <c:autoUpdate val="0"/>
  </c:externalData>
  <c:userShapes r:id="rId3"/>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図４－</a:t>
            </a:r>
            <a:r>
              <a:rPr lang="ja-JP" altLang="en-US" sz="900"/>
              <a:t>４</a:t>
            </a:r>
            <a:r>
              <a:rPr lang="ja-JP" sz="900"/>
              <a:t>　共同住宅の階数別住宅数</a:t>
            </a:r>
            <a:r>
              <a:rPr lang="ja-JP" altLang="en-US" sz="900"/>
              <a:t>（</a:t>
            </a:r>
            <a:r>
              <a:rPr lang="ja-JP" sz="900"/>
              <a:t>昭和</a:t>
            </a:r>
            <a:r>
              <a:rPr lang="en-US" altLang="ja-JP" sz="900"/>
              <a:t>63</a:t>
            </a:r>
            <a:r>
              <a:rPr lang="ja-JP" sz="900"/>
              <a:t>年～平成30年</a:t>
            </a:r>
            <a:r>
              <a:rPr lang="ja-JP" altLang="en-US" sz="900"/>
              <a:t>）</a:t>
            </a:r>
            <a:endParaRPr lang="ja-JP" sz="900"/>
          </a:p>
        </c:rich>
      </c:tx>
      <c:layout>
        <c:manualLayout>
          <c:xMode val="edge"/>
          <c:yMode val="edge"/>
          <c:x val="0.1991206551355463"/>
          <c:y val="2.1696434287177518E-2"/>
        </c:manualLayout>
      </c:layout>
      <c:overlay val="0"/>
    </c:title>
    <c:autoTitleDeleted val="0"/>
    <c:view3D>
      <c:rotX val="15"/>
      <c:rotY val="20"/>
      <c:depthPercent val="100"/>
      <c:rAngAx val="1"/>
    </c:view3D>
    <c:floor>
      <c:thickness val="0"/>
    </c:floor>
    <c:sideWall>
      <c:thickness val="0"/>
      <c:spPr>
        <a:ln w="6350">
          <a:solidFill>
            <a:schemeClr val="tx1"/>
          </a:solidFill>
        </a:ln>
      </c:spPr>
    </c:sideWall>
    <c:backWall>
      <c:thickness val="0"/>
      <c:spPr>
        <a:ln w="6350">
          <a:solidFill>
            <a:schemeClr val="tx1"/>
          </a:solidFill>
        </a:ln>
      </c:spPr>
    </c:backWall>
    <c:plotArea>
      <c:layout>
        <c:manualLayout>
          <c:layoutTarget val="inner"/>
          <c:xMode val="edge"/>
          <c:yMode val="edge"/>
          <c:x val="6.9854166666666662E-2"/>
          <c:y val="0.19106331220792522"/>
          <c:w val="0.92132638888888885"/>
          <c:h val="0.71594648229946867"/>
        </c:manualLayout>
      </c:layout>
      <c:bar3DChart>
        <c:barDir val="col"/>
        <c:grouping val="clustered"/>
        <c:varyColors val="0"/>
        <c:ser>
          <c:idx val="0"/>
          <c:order val="0"/>
          <c:tx>
            <c:strRef>
              <c:f>階数別共同住宅数!$B$43</c:f>
              <c:strCache>
                <c:ptCount val="1"/>
                <c:pt idx="0">
                  <c:v>1・2階建</c:v>
                </c:pt>
              </c:strCache>
            </c:strRef>
          </c:tx>
          <c:spPr>
            <a:pattFill prst="dkDnDiag">
              <a:fgClr>
                <a:schemeClr val="accent5"/>
              </a:fgClr>
              <a:bgClr>
                <a:schemeClr val="bg1"/>
              </a:bgClr>
            </a:pattFill>
            <a:ln w="6350">
              <a:solidFill>
                <a:schemeClr val="accent1"/>
              </a:solidFill>
            </a:ln>
          </c:spPr>
          <c:invertIfNegative val="0"/>
          <c:dPt>
            <c:idx val="0"/>
            <c:invertIfNegative val="0"/>
            <c:bubble3D val="0"/>
            <c:extLst>
              <c:ext xmlns:c16="http://schemas.microsoft.com/office/drawing/2014/chart" uri="{C3380CC4-5D6E-409C-BE32-E72D297353CC}">
                <c16:uniqueId val="{00000000-36A9-4B2A-B66F-E93E6473D5BB}"/>
              </c:ext>
            </c:extLst>
          </c:dPt>
          <c:dPt>
            <c:idx val="1"/>
            <c:invertIfNegative val="0"/>
            <c:bubble3D val="0"/>
            <c:extLst>
              <c:ext xmlns:c16="http://schemas.microsoft.com/office/drawing/2014/chart" uri="{C3380CC4-5D6E-409C-BE32-E72D297353CC}">
                <c16:uniqueId val="{00000001-36A9-4B2A-B66F-E93E6473D5BB}"/>
              </c:ext>
            </c:extLst>
          </c:dPt>
          <c:dPt>
            <c:idx val="2"/>
            <c:invertIfNegative val="0"/>
            <c:bubble3D val="0"/>
            <c:extLst>
              <c:ext xmlns:c16="http://schemas.microsoft.com/office/drawing/2014/chart" uri="{C3380CC4-5D6E-409C-BE32-E72D297353CC}">
                <c16:uniqueId val="{00000002-36A9-4B2A-B66F-E93E6473D5BB}"/>
              </c:ext>
            </c:extLst>
          </c:dPt>
          <c:dPt>
            <c:idx val="3"/>
            <c:invertIfNegative val="0"/>
            <c:bubble3D val="0"/>
            <c:extLst>
              <c:ext xmlns:c16="http://schemas.microsoft.com/office/drawing/2014/chart" uri="{C3380CC4-5D6E-409C-BE32-E72D297353CC}">
                <c16:uniqueId val="{00000003-36A9-4B2A-B66F-E93E6473D5BB}"/>
              </c:ext>
            </c:extLst>
          </c:dPt>
          <c:dPt>
            <c:idx val="4"/>
            <c:invertIfNegative val="0"/>
            <c:bubble3D val="0"/>
            <c:extLst>
              <c:ext xmlns:c16="http://schemas.microsoft.com/office/drawing/2014/chart" uri="{C3380CC4-5D6E-409C-BE32-E72D297353CC}">
                <c16:uniqueId val="{00000004-36A9-4B2A-B66F-E93E6473D5BB}"/>
              </c:ext>
            </c:extLst>
          </c:dPt>
          <c:dPt>
            <c:idx val="5"/>
            <c:invertIfNegative val="0"/>
            <c:bubble3D val="0"/>
            <c:extLst>
              <c:ext xmlns:c16="http://schemas.microsoft.com/office/drawing/2014/chart" uri="{C3380CC4-5D6E-409C-BE32-E72D297353CC}">
                <c16:uniqueId val="{00000005-36A9-4B2A-B66F-E93E6473D5BB}"/>
              </c:ext>
            </c:extLst>
          </c:dPt>
          <c:dPt>
            <c:idx val="6"/>
            <c:invertIfNegative val="0"/>
            <c:bubble3D val="0"/>
            <c:extLst>
              <c:ext xmlns:c16="http://schemas.microsoft.com/office/drawing/2014/chart" uri="{C3380CC4-5D6E-409C-BE32-E72D297353CC}">
                <c16:uniqueId val="{00000006-36A9-4B2A-B66F-E93E6473D5BB}"/>
              </c:ext>
            </c:extLst>
          </c:dPt>
          <c:dLbls>
            <c:dLbl>
              <c:idx val="0"/>
              <c:layout>
                <c:manualLayout>
                  <c:x val="0"/>
                  <c:y val="-5.4273504273504277E-3"/>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A9-4B2A-B66F-E93E6473D5BB}"/>
                </c:ext>
              </c:extLst>
            </c:dLbl>
            <c:dLbl>
              <c:idx val="1"/>
              <c:layout>
                <c:manualLayout>
                  <c:x val="0"/>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A9-4B2A-B66F-E93E6473D5BB}"/>
                </c:ext>
              </c:extLst>
            </c:dLbl>
            <c:dLbl>
              <c:idx val="2"/>
              <c:layout>
                <c:manualLayout>
                  <c:x val="4.6196556280529689E-17"/>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A9-4B2A-B66F-E93E6473D5BB}"/>
                </c:ext>
              </c:extLst>
            </c:dLbl>
            <c:dLbl>
              <c:idx val="3"/>
              <c:layout>
                <c:manualLayout>
                  <c:x val="0"/>
                  <c:y val="-1.6282051282051332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A9-4B2A-B66F-E93E6473D5BB}"/>
                </c:ext>
              </c:extLst>
            </c:dLbl>
            <c:dLbl>
              <c:idx val="4"/>
              <c:layout>
                <c:manualLayout>
                  <c:x val="9.2393112561059377E-17"/>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A9-4B2A-B66F-E93E6473D5BB}"/>
                </c:ext>
              </c:extLst>
            </c:dLbl>
            <c:dLbl>
              <c:idx val="5"/>
              <c:layout>
                <c:manualLayout>
                  <c:x val="0"/>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A9-4B2A-B66F-E93E6473D5BB}"/>
                </c:ext>
              </c:extLst>
            </c:dLbl>
            <c:dLbl>
              <c:idx val="6"/>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6-36A9-4B2A-B66F-E93E6473D5BB}"/>
                </c:ext>
              </c:extLst>
            </c:dLbl>
            <c:numFmt formatCode="#,##0_);[Red]\(#,##0\)" sourceLinked="0"/>
            <c:spPr>
              <a:solidFill>
                <a:schemeClr val="bg1"/>
              </a:solidFill>
              <a:ln>
                <a:noFill/>
              </a:ln>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階数別共同住宅数!$A$44:$A$50</c:f>
              <c:strCache>
                <c:ptCount val="7"/>
                <c:pt idx="0">
                  <c:v>昭和63年　</c:v>
                </c:pt>
                <c:pt idx="1">
                  <c:v>平成5年　</c:v>
                </c:pt>
                <c:pt idx="2">
                  <c:v>10年　</c:v>
                </c:pt>
                <c:pt idx="3">
                  <c:v>15年　</c:v>
                </c:pt>
                <c:pt idx="4">
                  <c:v>20年　</c:v>
                </c:pt>
                <c:pt idx="5">
                  <c:v>25年　</c:v>
                </c:pt>
                <c:pt idx="6">
                  <c:v>30年　</c:v>
                </c:pt>
              </c:strCache>
            </c:strRef>
          </c:cat>
          <c:val>
            <c:numRef>
              <c:f>階数別共同住宅数!$B$44:$B$50</c:f>
              <c:numCache>
                <c:formatCode>#,##0.0;[Red]\-#,##0.0</c:formatCode>
                <c:ptCount val="7"/>
                <c:pt idx="0">
                  <c:v>21.8</c:v>
                </c:pt>
                <c:pt idx="1">
                  <c:v>24.2</c:v>
                </c:pt>
                <c:pt idx="2">
                  <c:v>38.200000000000003</c:v>
                </c:pt>
                <c:pt idx="3">
                  <c:v>38.6</c:v>
                </c:pt>
                <c:pt idx="4">
                  <c:v>40.6</c:v>
                </c:pt>
                <c:pt idx="5">
                  <c:v>42.8</c:v>
                </c:pt>
                <c:pt idx="6">
                  <c:v>47.5</c:v>
                </c:pt>
              </c:numCache>
            </c:numRef>
          </c:val>
          <c:extLst>
            <c:ext xmlns:c16="http://schemas.microsoft.com/office/drawing/2014/chart" uri="{C3380CC4-5D6E-409C-BE32-E72D297353CC}">
              <c16:uniqueId val="{00000007-36A9-4B2A-B66F-E93E6473D5BB}"/>
            </c:ext>
          </c:extLst>
        </c:ser>
        <c:ser>
          <c:idx val="1"/>
          <c:order val="1"/>
          <c:tx>
            <c:strRef>
              <c:f>階数別共同住宅数!$C$43</c:f>
              <c:strCache>
                <c:ptCount val="1"/>
                <c:pt idx="0">
                  <c:v>3～5階建</c:v>
                </c:pt>
              </c:strCache>
            </c:strRef>
          </c:tx>
          <c:spPr>
            <a:pattFill prst="pct25">
              <a:fgClr>
                <a:schemeClr val="accent5"/>
              </a:fgClr>
              <a:bgClr>
                <a:schemeClr val="bg1"/>
              </a:bgClr>
            </a:pattFill>
            <a:ln>
              <a:solidFill>
                <a:schemeClr val="accent1"/>
              </a:solidFill>
            </a:ln>
          </c:spPr>
          <c:invertIfNegative val="0"/>
          <c:dPt>
            <c:idx val="0"/>
            <c:invertIfNegative val="0"/>
            <c:bubble3D val="0"/>
            <c:extLst>
              <c:ext xmlns:c16="http://schemas.microsoft.com/office/drawing/2014/chart" uri="{C3380CC4-5D6E-409C-BE32-E72D297353CC}">
                <c16:uniqueId val="{00000008-36A9-4B2A-B66F-E93E6473D5BB}"/>
              </c:ext>
            </c:extLst>
          </c:dPt>
          <c:dPt>
            <c:idx val="1"/>
            <c:invertIfNegative val="0"/>
            <c:bubble3D val="0"/>
            <c:extLst>
              <c:ext xmlns:c16="http://schemas.microsoft.com/office/drawing/2014/chart" uri="{C3380CC4-5D6E-409C-BE32-E72D297353CC}">
                <c16:uniqueId val="{00000009-36A9-4B2A-B66F-E93E6473D5BB}"/>
              </c:ext>
            </c:extLst>
          </c:dPt>
          <c:dPt>
            <c:idx val="2"/>
            <c:invertIfNegative val="0"/>
            <c:bubble3D val="0"/>
            <c:extLst>
              <c:ext xmlns:c16="http://schemas.microsoft.com/office/drawing/2014/chart" uri="{C3380CC4-5D6E-409C-BE32-E72D297353CC}">
                <c16:uniqueId val="{0000000A-36A9-4B2A-B66F-E93E6473D5BB}"/>
              </c:ext>
            </c:extLst>
          </c:dPt>
          <c:dPt>
            <c:idx val="3"/>
            <c:invertIfNegative val="0"/>
            <c:bubble3D val="0"/>
            <c:extLst>
              <c:ext xmlns:c16="http://schemas.microsoft.com/office/drawing/2014/chart" uri="{C3380CC4-5D6E-409C-BE32-E72D297353CC}">
                <c16:uniqueId val="{0000000B-36A9-4B2A-B66F-E93E6473D5BB}"/>
              </c:ext>
            </c:extLst>
          </c:dPt>
          <c:dPt>
            <c:idx val="4"/>
            <c:invertIfNegative val="0"/>
            <c:bubble3D val="0"/>
            <c:extLst>
              <c:ext xmlns:c16="http://schemas.microsoft.com/office/drawing/2014/chart" uri="{C3380CC4-5D6E-409C-BE32-E72D297353CC}">
                <c16:uniqueId val="{0000000C-36A9-4B2A-B66F-E93E6473D5BB}"/>
              </c:ext>
            </c:extLst>
          </c:dPt>
          <c:dPt>
            <c:idx val="5"/>
            <c:invertIfNegative val="0"/>
            <c:bubble3D val="0"/>
            <c:extLst>
              <c:ext xmlns:c16="http://schemas.microsoft.com/office/drawing/2014/chart" uri="{C3380CC4-5D6E-409C-BE32-E72D297353CC}">
                <c16:uniqueId val="{0000000D-36A9-4B2A-B66F-E93E6473D5BB}"/>
              </c:ext>
            </c:extLst>
          </c:dPt>
          <c:dPt>
            <c:idx val="6"/>
            <c:invertIfNegative val="0"/>
            <c:bubble3D val="0"/>
            <c:extLst>
              <c:ext xmlns:c16="http://schemas.microsoft.com/office/drawing/2014/chart" uri="{C3380CC4-5D6E-409C-BE32-E72D297353CC}">
                <c16:uniqueId val="{0000000E-36A9-4B2A-B66F-E93E6473D5BB}"/>
              </c:ext>
            </c:extLst>
          </c:dPt>
          <c:dLbls>
            <c:dLbl>
              <c:idx val="0"/>
              <c:layout>
                <c:manualLayout>
                  <c:x val="1.0079365079365079E-2"/>
                  <c:y val="0"/>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6A9-4B2A-B66F-E93E6473D5BB}"/>
                </c:ext>
              </c:extLst>
            </c:dLbl>
            <c:dLbl>
              <c:idx val="1"/>
              <c:layout>
                <c:manualLayout>
                  <c:x val="1.5119047619047619E-2"/>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6A9-4B2A-B66F-E93E6473D5BB}"/>
                </c:ext>
              </c:extLst>
            </c:dLbl>
            <c:dLbl>
              <c:idx val="2"/>
              <c:layout>
                <c:manualLayout>
                  <c:x val="1.5119047619047619E-2"/>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6A9-4B2A-B66F-E93E6473D5BB}"/>
                </c:ext>
              </c:extLst>
            </c:dLbl>
            <c:dLbl>
              <c:idx val="3"/>
              <c:layout>
                <c:manualLayout>
                  <c:x val="1.7638888888888888E-2"/>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6A9-4B2A-B66F-E93E6473D5BB}"/>
                </c:ext>
              </c:extLst>
            </c:dLbl>
            <c:dLbl>
              <c:idx val="4"/>
              <c:layout>
                <c:manualLayout>
                  <c:x val="1.7638888888888982E-2"/>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6A9-4B2A-B66F-E93E6473D5BB}"/>
                </c:ext>
              </c:extLst>
            </c:dLbl>
            <c:dLbl>
              <c:idx val="5"/>
              <c:layout>
                <c:manualLayout>
                  <c:x val="1.0079375078745118E-2"/>
                  <c:y val="-1.0854639918384389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6A9-4B2A-B66F-E93E6473D5BB}"/>
                </c:ext>
              </c:extLst>
            </c:dLbl>
            <c:dLbl>
              <c:idx val="6"/>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E-36A9-4B2A-B66F-E93E6473D5BB}"/>
                </c:ext>
              </c:extLst>
            </c:dLbl>
            <c:numFmt formatCode="#,##0_);[Red]\(#,##0\)" sourceLinked="0"/>
            <c:spPr>
              <a:solidFill>
                <a:schemeClr val="bg1"/>
              </a:solidFill>
              <a:ln>
                <a:noFill/>
              </a:ln>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階数別共同住宅数!$A$44:$A$50</c:f>
              <c:strCache>
                <c:ptCount val="7"/>
                <c:pt idx="0">
                  <c:v>昭和63年　</c:v>
                </c:pt>
                <c:pt idx="1">
                  <c:v>平成5年　</c:v>
                </c:pt>
                <c:pt idx="2">
                  <c:v>10年　</c:v>
                </c:pt>
                <c:pt idx="3">
                  <c:v>15年　</c:v>
                </c:pt>
                <c:pt idx="4">
                  <c:v>20年　</c:v>
                </c:pt>
                <c:pt idx="5">
                  <c:v>25年　</c:v>
                </c:pt>
                <c:pt idx="6">
                  <c:v>30年　</c:v>
                </c:pt>
              </c:strCache>
            </c:strRef>
          </c:cat>
          <c:val>
            <c:numRef>
              <c:f>階数別共同住宅数!$C$44:$C$50</c:f>
              <c:numCache>
                <c:formatCode>#,##0.0;[Red]\-#,##0.0</c:formatCode>
                <c:ptCount val="7"/>
                <c:pt idx="0">
                  <c:v>8.3000000000000007</c:v>
                </c:pt>
                <c:pt idx="1">
                  <c:v>15.5</c:v>
                </c:pt>
                <c:pt idx="2">
                  <c:v>14.9</c:v>
                </c:pt>
                <c:pt idx="3">
                  <c:v>16.5</c:v>
                </c:pt>
                <c:pt idx="4">
                  <c:v>14.8</c:v>
                </c:pt>
                <c:pt idx="5">
                  <c:v>12.7</c:v>
                </c:pt>
                <c:pt idx="6">
                  <c:v>13.9</c:v>
                </c:pt>
              </c:numCache>
            </c:numRef>
          </c:val>
          <c:extLst>
            <c:ext xmlns:c16="http://schemas.microsoft.com/office/drawing/2014/chart" uri="{C3380CC4-5D6E-409C-BE32-E72D297353CC}">
              <c16:uniqueId val="{0000000F-36A9-4B2A-B66F-E93E6473D5BB}"/>
            </c:ext>
          </c:extLst>
        </c:ser>
        <c:ser>
          <c:idx val="2"/>
          <c:order val="2"/>
          <c:tx>
            <c:strRef>
              <c:f>階数別共同住宅数!$D$43</c:f>
              <c:strCache>
                <c:ptCount val="1"/>
                <c:pt idx="0">
                  <c:v>6階建以上</c:v>
                </c:pt>
              </c:strCache>
            </c:strRef>
          </c:tx>
          <c:spPr>
            <a:pattFill prst="smCheck">
              <a:fgClr>
                <a:schemeClr val="accent5"/>
              </a:fgClr>
              <a:bgClr>
                <a:schemeClr val="bg1"/>
              </a:bgClr>
            </a:pattFill>
            <a:ln>
              <a:solidFill>
                <a:schemeClr val="accent1"/>
              </a:solidFill>
            </a:ln>
          </c:spPr>
          <c:invertIfNegative val="0"/>
          <c:dPt>
            <c:idx val="0"/>
            <c:invertIfNegative val="0"/>
            <c:bubble3D val="0"/>
            <c:extLst>
              <c:ext xmlns:c16="http://schemas.microsoft.com/office/drawing/2014/chart" uri="{C3380CC4-5D6E-409C-BE32-E72D297353CC}">
                <c16:uniqueId val="{00000010-36A9-4B2A-B66F-E93E6473D5BB}"/>
              </c:ext>
            </c:extLst>
          </c:dPt>
          <c:dPt>
            <c:idx val="1"/>
            <c:invertIfNegative val="0"/>
            <c:bubble3D val="0"/>
            <c:extLst>
              <c:ext xmlns:c16="http://schemas.microsoft.com/office/drawing/2014/chart" uri="{C3380CC4-5D6E-409C-BE32-E72D297353CC}">
                <c16:uniqueId val="{00000011-36A9-4B2A-B66F-E93E6473D5BB}"/>
              </c:ext>
            </c:extLst>
          </c:dPt>
          <c:dPt>
            <c:idx val="2"/>
            <c:invertIfNegative val="0"/>
            <c:bubble3D val="0"/>
            <c:extLst>
              <c:ext xmlns:c16="http://schemas.microsoft.com/office/drawing/2014/chart" uri="{C3380CC4-5D6E-409C-BE32-E72D297353CC}">
                <c16:uniqueId val="{00000012-36A9-4B2A-B66F-E93E6473D5BB}"/>
              </c:ext>
            </c:extLst>
          </c:dPt>
          <c:dPt>
            <c:idx val="3"/>
            <c:invertIfNegative val="0"/>
            <c:bubble3D val="0"/>
            <c:extLst>
              <c:ext xmlns:c16="http://schemas.microsoft.com/office/drawing/2014/chart" uri="{C3380CC4-5D6E-409C-BE32-E72D297353CC}">
                <c16:uniqueId val="{00000013-36A9-4B2A-B66F-E93E6473D5BB}"/>
              </c:ext>
            </c:extLst>
          </c:dPt>
          <c:dPt>
            <c:idx val="4"/>
            <c:invertIfNegative val="0"/>
            <c:bubble3D val="0"/>
            <c:extLst>
              <c:ext xmlns:c16="http://schemas.microsoft.com/office/drawing/2014/chart" uri="{C3380CC4-5D6E-409C-BE32-E72D297353CC}">
                <c16:uniqueId val="{00000014-36A9-4B2A-B66F-E93E6473D5BB}"/>
              </c:ext>
            </c:extLst>
          </c:dPt>
          <c:dPt>
            <c:idx val="5"/>
            <c:invertIfNegative val="0"/>
            <c:bubble3D val="0"/>
            <c:extLst>
              <c:ext xmlns:c16="http://schemas.microsoft.com/office/drawing/2014/chart" uri="{C3380CC4-5D6E-409C-BE32-E72D297353CC}">
                <c16:uniqueId val="{00000015-36A9-4B2A-B66F-E93E6473D5BB}"/>
              </c:ext>
            </c:extLst>
          </c:dPt>
          <c:dPt>
            <c:idx val="6"/>
            <c:invertIfNegative val="0"/>
            <c:bubble3D val="0"/>
            <c:extLst>
              <c:ext xmlns:c16="http://schemas.microsoft.com/office/drawing/2014/chart" uri="{C3380CC4-5D6E-409C-BE32-E72D297353CC}">
                <c16:uniqueId val="{00000016-36A9-4B2A-B66F-E93E6473D5BB}"/>
              </c:ext>
            </c:extLst>
          </c:dPt>
          <c:dLbls>
            <c:dLbl>
              <c:idx val="0"/>
              <c:layout>
                <c:manualLayout>
                  <c:x val="1.5119047619047619E-2"/>
                  <c:y val="-5.4273504273503279E-3"/>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6A9-4B2A-B66F-E93E6473D5BB}"/>
                </c:ext>
              </c:extLst>
            </c:dLbl>
            <c:dLbl>
              <c:idx val="1"/>
              <c:layout>
                <c:manualLayout>
                  <c:x val="1.0079166666666667E-2"/>
                  <c:y val="-5.4273504273504277E-3"/>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6A9-4B2A-B66F-E93E6473D5BB}"/>
                </c:ext>
              </c:extLst>
            </c:dLbl>
            <c:dLbl>
              <c:idx val="2"/>
              <c:layout>
                <c:manualLayout>
                  <c:x val="1.0079365079365079E-2"/>
                  <c:y val="-1.08547008547007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6A9-4B2A-B66F-E93E6473D5BB}"/>
                </c:ext>
              </c:extLst>
            </c:dLbl>
            <c:dLbl>
              <c:idx val="3"/>
              <c:layout>
                <c:manualLayout>
                  <c:x val="1.5119047619047619E-2"/>
                  <c:y val="-1.0854700854700855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6A9-4B2A-B66F-E93E6473D5BB}"/>
                </c:ext>
              </c:extLst>
            </c:dLbl>
            <c:dLbl>
              <c:idx val="4"/>
              <c:layout>
                <c:manualLayout>
                  <c:x val="1.259920634920635E-2"/>
                  <c:y val="-1.628205128205128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6A9-4B2A-B66F-E93E6473D5BB}"/>
                </c:ext>
              </c:extLst>
            </c:dLbl>
            <c:dLbl>
              <c:idx val="5"/>
              <c:layout>
                <c:manualLayout>
                  <c:x val="2.0158730158730157E-2"/>
                  <c:y val="-1.628205128205128E-2"/>
                </c:manualLayout>
              </c:layout>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6A9-4B2A-B66F-E93E6473D5BB}"/>
                </c:ext>
              </c:extLst>
            </c:dLbl>
            <c:dLbl>
              <c:idx val="6"/>
              <c:numFmt formatCode="#,##0_);[Red]\(#,##0\)" sourceLinked="0"/>
              <c:spPr>
                <a:solidFill>
                  <a:schemeClr val="bg1"/>
                </a:solidFill>
                <a:ln>
                  <a:noFill/>
                </a:ln>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16-36A9-4B2A-B66F-E93E6473D5BB}"/>
                </c:ext>
              </c:extLst>
            </c:dLbl>
            <c:numFmt formatCode="#,##0_);[Red]\(#,##0\)" sourceLinked="0"/>
            <c:spPr>
              <a:solidFill>
                <a:schemeClr val="bg1"/>
              </a:solidFill>
              <a:ln>
                <a:noFill/>
              </a:ln>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階数別共同住宅数!$A$44:$A$50</c:f>
              <c:strCache>
                <c:ptCount val="7"/>
                <c:pt idx="0">
                  <c:v>昭和63年　</c:v>
                </c:pt>
                <c:pt idx="1">
                  <c:v>平成5年　</c:v>
                </c:pt>
                <c:pt idx="2">
                  <c:v>10年　</c:v>
                </c:pt>
                <c:pt idx="3">
                  <c:v>15年　</c:v>
                </c:pt>
                <c:pt idx="4">
                  <c:v>20年　</c:v>
                </c:pt>
                <c:pt idx="5">
                  <c:v>25年　</c:v>
                </c:pt>
                <c:pt idx="6">
                  <c:v>30年　</c:v>
                </c:pt>
              </c:strCache>
            </c:strRef>
          </c:cat>
          <c:val>
            <c:numRef>
              <c:f>階数別共同住宅数!$D$44:$D$50</c:f>
              <c:numCache>
                <c:formatCode>#,##0.0;[Red]\-#,##0.0</c:formatCode>
                <c:ptCount val="7"/>
                <c:pt idx="0">
                  <c:v>1.5</c:v>
                </c:pt>
                <c:pt idx="1">
                  <c:v>2.5</c:v>
                </c:pt>
                <c:pt idx="2">
                  <c:v>3.2</c:v>
                </c:pt>
                <c:pt idx="3">
                  <c:v>3.9</c:v>
                </c:pt>
                <c:pt idx="4">
                  <c:v>3.1</c:v>
                </c:pt>
                <c:pt idx="5">
                  <c:v>11.5</c:v>
                </c:pt>
                <c:pt idx="6">
                  <c:v>6.6</c:v>
                </c:pt>
              </c:numCache>
            </c:numRef>
          </c:val>
          <c:extLst>
            <c:ext xmlns:c16="http://schemas.microsoft.com/office/drawing/2014/chart" uri="{C3380CC4-5D6E-409C-BE32-E72D297353CC}">
              <c16:uniqueId val="{00000017-36A9-4B2A-B66F-E93E6473D5BB}"/>
            </c:ext>
          </c:extLst>
        </c:ser>
        <c:dLbls>
          <c:showLegendKey val="0"/>
          <c:showVal val="0"/>
          <c:showCatName val="0"/>
          <c:showSerName val="0"/>
          <c:showPercent val="0"/>
          <c:showBubbleSize val="0"/>
        </c:dLbls>
        <c:gapWidth val="101"/>
        <c:shape val="box"/>
        <c:axId val="141539584"/>
        <c:axId val="141553664"/>
        <c:axId val="0"/>
      </c:bar3DChart>
      <c:catAx>
        <c:axId val="141539584"/>
        <c:scaling>
          <c:orientation val="minMax"/>
        </c:scaling>
        <c:delete val="0"/>
        <c:axPos val="b"/>
        <c:numFmt formatCode="General" sourceLinked="1"/>
        <c:majorTickMark val="out"/>
        <c:minorTickMark val="none"/>
        <c:tickLblPos val="nextTo"/>
        <c:spPr>
          <a:ln>
            <a:solidFill>
              <a:schemeClr val="tx1"/>
            </a:solidFill>
          </a:ln>
        </c:spPr>
        <c:txPr>
          <a:bodyPr/>
          <a:lstStyle/>
          <a:p>
            <a:pPr algn="ctr" rtl="0">
              <a:defRPr/>
            </a:pPr>
            <a:endParaRPr lang="ja-JP"/>
          </a:p>
        </c:txPr>
        <c:crossAx val="141553664"/>
        <c:crosses val="autoZero"/>
        <c:auto val="1"/>
        <c:lblAlgn val="ctr"/>
        <c:lblOffset val="100"/>
        <c:noMultiLvlLbl val="0"/>
      </c:catAx>
      <c:valAx>
        <c:axId val="141553664"/>
        <c:scaling>
          <c:orientation val="minMax"/>
        </c:scaling>
        <c:delete val="0"/>
        <c:axPos val="l"/>
        <c:majorGridlines>
          <c:spPr>
            <a:ln w="9525">
              <a:solidFill>
                <a:schemeClr val="tx1"/>
              </a:solidFill>
            </a:ln>
          </c:spPr>
        </c:majorGridlines>
        <c:numFmt formatCode="#,##0_);[Red]\(#,##0\)" sourceLinked="0"/>
        <c:majorTickMark val="out"/>
        <c:minorTickMark val="none"/>
        <c:tickLblPos val="nextTo"/>
        <c:spPr>
          <a:ln>
            <a:solidFill>
              <a:schemeClr val="tx1"/>
            </a:solidFill>
          </a:ln>
        </c:spPr>
        <c:txPr>
          <a:bodyPr/>
          <a:lstStyle/>
          <a:p>
            <a:pPr algn="ctr" rtl="0">
              <a:defRPr/>
            </a:pPr>
            <a:endParaRPr lang="ja-JP"/>
          </a:p>
        </c:txPr>
        <c:crossAx val="141539584"/>
        <c:crosses val="autoZero"/>
        <c:crossBetween val="between"/>
        <c:majorUnit val="10"/>
      </c:valAx>
      <c:spPr>
        <a:ln>
          <a:noFill/>
        </a:ln>
      </c:spPr>
    </c:plotArea>
    <c:legend>
      <c:legendPos val="t"/>
      <c:layout>
        <c:manualLayout>
          <c:xMode val="edge"/>
          <c:yMode val="edge"/>
          <c:x val="0.30617788311297928"/>
          <c:y val="0.10840108401084012"/>
          <c:w val="0.38764403536114617"/>
          <c:h val="8.4086379446471626E-2"/>
        </c:manualLayout>
      </c:layout>
      <c:overlay val="0"/>
      <c:spPr>
        <a:ln w="3175">
          <a:solidFill>
            <a:schemeClr val="tx1">
              <a:shade val="95000"/>
              <a:satMod val="105000"/>
            </a:schemeClr>
          </a:solidFill>
        </a:ln>
      </c:spPr>
      <c:txPr>
        <a:bodyPr/>
        <a:lstStyle/>
        <a:p>
          <a:pPr algn="l" rtl="0">
            <a:defRPr sz="900"/>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図４－</a:t>
            </a:r>
            <a:r>
              <a:rPr lang="ja-JP" altLang="en-US" sz="900"/>
              <a:t>５</a:t>
            </a:r>
            <a:r>
              <a:rPr lang="ja-JP" sz="900"/>
              <a:t>　共同住宅の階数別割合の推移（</a:t>
            </a:r>
            <a:r>
              <a:rPr lang="ja-JP" altLang="en-US" sz="900"/>
              <a:t>昭和</a:t>
            </a:r>
            <a:r>
              <a:rPr lang="en-US" altLang="ja-JP" sz="900"/>
              <a:t>63</a:t>
            </a:r>
            <a:r>
              <a:rPr lang="ja-JP" sz="900"/>
              <a:t>年～</a:t>
            </a:r>
            <a:r>
              <a:rPr lang="ja-JP" altLang="en-US" sz="900"/>
              <a:t>平成</a:t>
            </a:r>
            <a:r>
              <a:rPr lang="en-US" altLang="ja-JP" sz="900"/>
              <a:t>30</a:t>
            </a:r>
            <a:r>
              <a:rPr lang="ja-JP" sz="900"/>
              <a:t>年）</a:t>
            </a:r>
          </a:p>
        </c:rich>
      </c:tx>
      <c:layout>
        <c:manualLayout>
          <c:xMode val="edge"/>
          <c:yMode val="edge"/>
          <c:x val="0.15936742000736115"/>
          <c:y val="1.680672268907563E-2"/>
        </c:manualLayout>
      </c:layout>
      <c:overlay val="0"/>
    </c:title>
    <c:autoTitleDeleted val="0"/>
    <c:plotArea>
      <c:layout>
        <c:manualLayout>
          <c:layoutTarget val="inner"/>
          <c:xMode val="edge"/>
          <c:yMode val="edge"/>
          <c:x val="0.12196758131704495"/>
          <c:y val="0.20656389264846661"/>
          <c:w val="0.83769606914292571"/>
          <c:h val="0.70929971988795515"/>
        </c:manualLayout>
      </c:layout>
      <c:barChart>
        <c:barDir val="bar"/>
        <c:grouping val="percentStacked"/>
        <c:varyColors val="0"/>
        <c:ser>
          <c:idx val="0"/>
          <c:order val="0"/>
          <c:tx>
            <c:strRef>
              <c:f>階数別共同住宅数!$B$17</c:f>
              <c:strCache>
                <c:ptCount val="1"/>
                <c:pt idx="0">
                  <c:v>１・２階建</c:v>
                </c:pt>
              </c:strCache>
            </c:strRef>
          </c:tx>
          <c:spPr>
            <a:pattFill prst="pct10">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階数別共同住宅数!$A$18:$A$24</c:f>
              <c:strCache>
                <c:ptCount val="7"/>
                <c:pt idx="0">
                  <c:v>30年</c:v>
                </c:pt>
                <c:pt idx="1">
                  <c:v>25年</c:v>
                </c:pt>
                <c:pt idx="2">
                  <c:v>20年</c:v>
                </c:pt>
                <c:pt idx="3">
                  <c:v>15年</c:v>
                </c:pt>
                <c:pt idx="4">
                  <c:v>10年</c:v>
                </c:pt>
                <c:pt idx="5">
                  <c:v>平成5年</c:v>
                </c:pt>
                <c:pt idx="6">
                  <c:v>昭和63年</c:v>
                </c:pt>
              </c:strCache>
            </c:strRef>
          </c:cat>
          <c:val>
            <c:numRef>
              <c:f>階数別共同住宅数!$B$18:$B$24</c:f>
              <c:numCache>
                <c:formatCode>0.0</c:formatCode>
                <c:ptCount val="7"/>
                <c:pt idx="0" formatCode="0.0_ ">
                  <c:v>69.648093799999998</c:v>
                </c:pt>
                <c:pt idx="1">
                  <c:v>63.785394932935915</c:v>
                </c:pt>
                <c:pt idx="2">
                  <c:v>69.520547945205479</c:v>
                </c:pt>
                <c:pt idx="3">
                  <c:v>65.646258503401356</c:v>
                </c:pt>
                <c:pt idx="4">
                  <c:v>67.97153024911033</c:v>
                </c:pt>
                <c:pt idx="5">
                  <c:v>57.345971563981045</c:v>
                </c:pt>
                <c:pt idx="6">
                  <c:v>68.987341772151893</c:v>
                </c:pt>
              </c:numCache>
            </c:numRef>
          </c:val>
          <c:extLst>
            <c:ext xmlns:c16="http://schemas.microsoft.com/office/drawing/2014/chart" uri="{C3380CC4-5D6E-409C-BE32-E72D297353CC}">
              <c16:uniqueId val="{00000000-B831-42E0-9598-47312D91AA4F}"/>
            </c:ext>
          </c:extLst>
        </c:ser>
        <c:ser>
          <c:idx val="1"/>
          <c:order val="1"/>
          <c:tx>
            <c:strRef>
              <c:f>階数別共同住宅数!$C$17</c:f>
              <c:strCache>
                <c:ptCount val="1"/>
                <c:pt idx="0">
                  <c:v>３～５階建</c:v>
                </c:pt>
              </c:strCache>
            </c:strRef>
          </c:tx>
          <c:spPr>
            <a:pattFill prst="pct30">
              <a:fgClr>
                <a:schemeClr val="accent5"/>
              </a:fgClr>
              <a:bgClr>
                <a:schemeClr val="bg1"/>
              </a:bgClr>
            </a:pattFill>
            <a:ln w="3175">
              <a:solidFill>
                <a:schemeClr val="tx1"/>
              </a:solidFill>
              <a:prstDash val="solid"/>
            </a:ln>
          </c:spPr>
          <c:invertIfNegative val="0"/>
          <c:dLbls>
            <c:numFmt formatCode="#,##0.0_);[Red]\(#,##0.0\)" sourceLinked="0"/>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階数別共同住宅数!$A$18:$A$24</c:f>
              <c:strCache>
                <c:ptCount val="7"/>
                <c:pt idx="0">
                  <c:v>30年</c:v>
                </c:pt>
                <c:pt idx="1">
                  <c:v>25年</c:v>
                </c:pt>
                <c:pt idx="2">
                  <c:v>20年</c:v>
                </c:pt>
                <c:pt idx="3">
                  <c:v>15年</c:v>
                </c:pt>
                <c:pt idx="4">
                  <c:v>10年</c:v>
                </c:pt>
                <c:pt idx="5">
                  <c:v>平成5年</c:v>
                </c:pt>
                <c:pt idx="6">
                  <c:v>昭和63年</c:v>
                </c:pt>
              </c:strCache>
            </c:strRef>
          </c:cat>
          <c:val>
            <c:numRef>
              <c:f>階数別共同住宅数!$C$18:$C$24</c:f>
              <c:numCache>
                <c:formatCode>0.0</c:formatCode>
                <c:ptCount val="7"/>
                <c:pt idx="0" formatCode="0.0_ ">
                  <c:v>20.381231</c:v>
                </c:pt>
                <c:pt idx="1">
                  <c:v>18.926974664679584</c:v>
                </c:pt>
                <c:pt idx="2">
                  <c:v>25.342465753424658</c:v>
                </c:pt>
                <c:pt idx="3">
                  <c:v>28.061224489795915</c:v>
                </c:pt>
                <c:pt idx="4">
                  <c:v>26.512455516014231</c:v>
                </c:pt>
                <c:pt idx="5">
                  <c:v>36.729857819905213</c:v>
                </c:pt>
                <c:pt idx="6">
                  <c:v>26.265822784810126</c:v>
                </c:pt>
              </c:numCache>
            </c:numRef>
          </c:val>
          <c:extLst>
            <c:ext xmlns:c16="http://schemas.microsoft.com/office/drawing/2014/chart" uri="{C3380CC4-5D6E-409C-BE32-E72D297353CC}">
              <c16:uniqueId val="{00000001-B831-42E0-9598-47312D91AA4F}"/>
            </c:ext>
          </c:extLst>
        </c:ser>
        <c:ser>
          <c:idx val="2"/>
          <c:order val="2"/>
          <c:tx>
            <c:strRef>
              <c:f>階数別共同住宅数!$D$17</c:f>
              <c:strCache>
                <c:ptCount val="1"/>
                <c:pt idx="0">
                  <c:v>６階建以上</c:v>
                </c:pt>
              </c:strCache>
            </c:strRef>
          </c:tx>
          <c:spPr>
            <a:pattFill prst="ltHorz">
              <a:fgClr>
                <a:schemeClr val="accent5"/>
              </a:fgClr>
              <a:bgClr>
                <a:schemeClr val="bg1"/>
              </a:bgClr>
            </a:pattFill>
            <a:ln w="3175">
              <a:solidFill>
                <a:schemeClr val="tx1"/>
              </a:solidFill>
              <a:prstDash val="sysDot"/>
            </a:ln>
          </c:spPr>
          <c:invertIfNegative val="0"/>
          <c:dPt>
            <c:idx val="0"/>
            <c:invertIfNegative val="0"/>
            <c:bubble3D val="0"/>
            <c:spPr>
              <a:pattFill prst="ltHorz">
                <a:fgClr>
                  <a:schemeClr val="accent5"/>
                </a:fgClr>
                <a:bgClr>
                  <a:schemeClr val="bg1"/>
                </a:bgClr>
              </a:pattFill>
              <a:ln w="3175">
                <a:solidFill>
                  <a:schemeClr val="tx1"/>
                </a:solidFill>
                <a:prstDash val="solid"/>
              </a:ln>
            </c:spPr>
            <c:extLst>
              <c:ext xmlns:c16="http://schemas.microsoft.com/office/drawing/2014/chart" uri="{C3380CC4-5D6E-409C-BE32-E72D297353CC}">
                <c16:uniqueId val="{00000003-B831-42E0-9598-47312D91AA4F}"/>
              </c:ext>
            </c:extLst>
          </c:dPt>
          <c:dPt>
            <c:idx val="1"/>
            <c:invertIfNegative val="0"/>
            <c:bubble3D val="0"/>
            <c:extLst>
              <c:ext xmlns:c16="http://schemas.microsoft.com/office/drawing/2014/chart" uri="{C3380CC4-5D6E-409C-BE32-E72D297353CC}">
                <c16:uniqueId val="{00000004-B831-42E0-9598-47312D91AA4F}"/>
              </c:ext>
            </c:extLst>
          </c:dPt>
          <c:dPt>
            <c:idx val="2"/>
            <c:invertIfNegative val="0"/>
            <c:bubble3D val="0"/>
            <c:extLst>
              <c:ext xmlns:c16="http://schemas.microsoft.com/office/drawing/2014/chart" uri="{C3380CC4-5D6E-409C-BE32-E72D297353CC}">
                <c16:uniqueId val="{00000005-B831-42E0-9598-47312D91AA4F}"/>
              </c:ext>
            </c:extLst>
          </c:dPt>
          <c:dPt>
            <c:idx val="3"/>
            <c:invertIfNegative val="0"/>
            <c:bubble3D val="0"/>
            <c:extLst>
              <c:ext xmlns:c16="http://schemas.microsoft.com/office/drawing/2014/chart" uri="{C3380CC4-5D6E-409C-BE32-E72D297353CC}">
                <c16:uniqueId val="{00000006-B831-42E0-9598-47312D91AA4F}"/>
              </c:ext>
            </c:extLst>
          </c:dPt>
          <c:dLbls>
            <c:dLbl>
              <c:idx val="0"/>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3-B831-42E0-9598-47312D91AA4F}"/>
                </c:ext>
              </c:extLst>
            </c:dLbl>
            <c:dLbl>
              <c:idx val="1"/>
              <c:numFmt formatCode="#,##0.0_);[Red]\(#,##0.0\)" sourceLinked="0"/>
              <c:spPr>
                <a:solidFill>
                  <a:schemeClr val="bg1"/>
                </a:solidFill>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4-B831-42E0-9598-47312D91AA4F}"/>
                </c:ext>
              </c:extLst>
            </c:dLbl>
            <c:dLbl>
              <c:idx val="2"/>
              <c:numFmt formatCode="#,##0.0_);[Red]\(#,##0.0\)" sourceLinked="0"/>
              <c:spPr>
                <a:noFill/>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5-B831-42E0-9598-47312D91AA4F}"/>
                </c:ext>
              </c:extLst>
            </c:dLbl>
            <c:dLbl>
              <c:idx val="3"/>
              <c:numFmt formatCode="#,##0.0_);[Red]\(#,##0.0\)" sourceLinked="0"/>
              <c:spPr>
                <a:noFill/>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6-B831-42E0-9598-47312D91AA4F}"/>
                </c:ext>
              </c:extLst>
            </c:dLbl>
            <c:dLbl>
              <c:idx val="4"/>
              <c:spPr>
                <a:noFill/>
                <a:ln>
                  <a:noFill/>
                </a:ln>
                <a:effectLst/>
              </c:spPr>
              <c:txPr>
                <a:bodyPr rot="0"/>
                <a:lstStyle/>
                <a:p>
                  <a:pPr algn="ctr" rtl="0">
                    <a:defRPr/>
                  </a:pPr>
                  <a:endParaRPr lang="ja-JP"/>
                </a:p>
              </c:txPr>
              <c:showLegendKey val="0"/>
              <c:showVal val="1"/>
              <c:showCatName val="0"/>
              <c:showSerName val="0"/>
              <c:showPercent val="0"/>
              <c:showBubbleSize val="0"/>
              <c:extLst>
                <c:ext xmlns:c16="http://schemas.microsoft.com/office/drawing/2014/chart" uri="{C3380CC4-5D6E-409C-BE32-E72D297353CC}">
                  <c16:uniqueId val="{00000005-04F2-4EBF-88DF-96C0A07BF094}"/>
                </c:ext>
              </c:extLst>
            </c:dLbl>
            <c:dLbl>
              <c:idx val="5"/>
              <c:spPr>
                <a:noFill/>
                <a:ln>
                  <a:noFill/>
                </a:ln>
                <a:effectLst/>
              </c:spPr>
              <c:txPr>
                <a:bodyPr rot="0"/>
                <a:lstStyle/>
                <a:p>
                  <a:pPr algn="ctr" rtl="0">
                    <a:defRPr/>
                  </a:pPr>
                  <a:endParaRPr lang="ja-JP"/>
                </a:p>
              </c:txPr>
              <c:showLegendKey val="0"/>
              <c:showVal val="1"/>
              <c:showCatName val="0"/>
              <c:showSerName val="0"/>
              <c:showPercent val="0"/>
              <c:showBubbleSize val="0"/>
              <c:extLst>
                <c:ext xmlns:c16="http://schemas.microsoft.com/office/drawing/2014/chart" uri="{C3380CC4-5D6E-409C-BE32-E72D297353CC}">
                  <c16:uniqueId val="{00000006-04F2-4EBF-88DF-96C0A07BF094}"/>
                </c:ext>
              </c:extLst>
            </c:dLbl>
            <c:dLbl>
              <c:idx val="6"/>
              <c:spPr>
                <a:noFill/>
                <a:ln>
                  <a:noFill/>
                </a:ln>
                <a:effectLst/>
              </c:spPr>
              <c:txPr>
                <a:bodyPr rot="0"/>
                <a:lstStyle/>
                <a:p>
                  <a:pPr algn="ctr" rtl="0">
                    <a:defRPr/>
                  </a:pPr>
                  <a:endParaRPr lang="ja-JP"/>
                </a:p>
              </c:txPr>
              <c:showLegendKey val="0"/>
              <c:showVal val="1"/>
              <c:showCatName val="0"/>
              <c:showSerName val="0"/>
              <c:showPercent val="0"/>
              <c:showBubbleSize val="0"/>
              <c:extLst>
                <c:ext xmlns:c16="http://schemas.microsoft.com/office/drawing/2014/chart" uri="{C3380CC4-5D6E-409C-BE32-E72D297353CC}">
                  <c16:uniqueId val="{00000007-04F2-4EBF-88DF-96C0A07BF094}"/>
                </c:ext>
              </c:extLst>
            </c:dLbl>
            <c:spPr>
              <a:solidFill>
                <a:schemeClr val="bg1"/>
              </a:solidFill>
              <a:ln>
                <a:noFill/>
              </a:ln>
              <a:effectLst/>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階数別共同住宅数!$A$18:$A$24</c:f>
              <c:strCache>
                <c:ptCount val="7"/>
                <c:pt idx="0">
                  <c:v>30年</c:v>
                </c:pt>
                <c:pt idx="1">
                  <c:v>25年</c:v>
                </c:pt>
                <c:pt idx="2">
                  <c:v>20年</c:v>
                </c:pt>
                <c:pt idx="3">
                  <c:v>15年</c:v>
                </c:pt>
                <c:pt idx="4">
                  <c:v>10年</c:v>
                </c:pt>
                <c:pt idx="5">
                  <c:v>平成5年</c:v>
                </c:pt>
                <c:pt idx="6">
                  <c:v>昭和63年</c:v>
                </c:pt>
              </c:strCache>
            </c:strRef>
          </c:cat>
          <c:val>
            <c:numRef>
              <c:f>階数別共同住宅数!$D$18:$D$24</c:f>
              <c:numCache>
                <c:formatCode>0.0</c:formatCode>
                <c:ptCount val="7"/>
                <c:pt idx="0" formatCode="0.0_ ">
                  <c:v>9.6774193499999992</c:v>
                </c:pt>
                <c:pt idx="1">
                  <c:v>17.138599105812222</c:v>
                </c:pt>
                <c:pt idx="2">
                  <c:v>5.3082191780821919</c:v>
                </c:pt>
                <c:pt idx="3">
                  <c:v>6.6326530612244898</c:v>
                </c:pt>
                <c:pt idx="4">
                  <c:v>5.6939501779359425</c:v>
                </c:pt>
                <c:pt idx="5">
                  <c:v>5.9241706161137442</c:v>
                </c:pt>
                <c:pt idx="6">
                  <c:v>4.7468354430379751</c:v>
                </c:pt>
              </c:numCache>
            </c:numRef>
          </c:val>
          <c:extLst>
            <c:ext xmlns:c16="http://schemas.microsoft.com/office/drawing/2014/chart" uri="{C3380CC4-5D6E-409C-BE32-E72D297353CC}">
              <c16:uniqueId val="{0000000A-B831-42E0-9598-47312D91AA4F}"/>
            </c:ext>
          </c:extLst>
        </c:ser>
        <c:dLbls>
          <c:showLegendKey val="0"/>
          <c:showVal val="0"/>
          <c:showCatName val="0"/>
          <c:showSerName val="0"/>
          <c:showPercent val="0"/>
          <c:showBubbleSize val="0"/>
        </c:dLbls>
        <c:gapWidth val="30"/>
        <c:overlap val="100"/>
        <c:axId val="141608064"/>
        <c:axId val="141609600"/>
      </c:barChart>
      <c:catAx>
        <c:axId val="141608064"/>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a:pPr>
            <a:endParaRPr lang="ja-JP"/>
          </a:p>
        </c:txPr>
        <c:crossAx val="141609600"/>
        <c:crosses val="autoZero"/>
        <c:auto val="1"/>
        <c:lblAlgn val="ctr"/>
        <c:lblOffset val="100"/>
        <c:noMultiLvlLbl val="0"/>
      </c:catAx>
      <c:valAx>
        <c:axId val="141609600"/>
        <c:scaling>
          <c:orientation val="minMax"/>
        </c:scaling>
        <c:delete val="0"/>
        <c:axPos val="b"/>
        <c:majorGridlines>
          <c:spPr>
            <a:ln>
              <a:prstDash val="sysDot"/>
            </a:ln>
          </c:spPr>
        </c:majorGridlines>
        <c:numFmt formatCode="0%" sourceLinked="0"/>
        <c:majorTickMark val="cross"/>
        <c:minorTickMark val="none"/>
        <c:tickLblPos val="low"/>
        <c:spPr>
          <a:ln>
            <a:solidFill>
              <a:schemeClr val="tx1"/>
            </a:solidFill>
          </a:ln>
        </c:spPr>
        <c:txPr>
          <a:bodyPr/>
          <a:lstStyle/>
          <a:p>
            <a:pPr algn="ctr" rtl="0">
              <a:defRPr/>
            </a:pPr>
            <a:endParaRPr lang="ja-JP"/>
          </a:p>
        </c:txPr>
        <c:crossAx val="141608064"/>
        <c:crosses val="autoZero"/>
        <c:crossBetween val="between"/>
        <c:majorUnit val="0.2"/>
      </c:valAx>
      <c:spPr>
        <a:ln w="3175">
          <a:solidFill>
            <a:schemeClr val="tx1"/>
          </a:solidFill>
        </a:ln>
      </c:spPr>
    </c:plotArea>
    <c:legend>
      <c:legendPos val="t"/>
      <c:layout>
        <c:manualLayout>
          <c:xMode val="edge"/>
          <c:yMode val="edge"/>
          <c:x val="0.30315085673495429"/>
          <c:y val="0.10110103884073313"/>
          <c:w val="0.39369795534016155"/>
          <c:h val="8.6912812369042108E-2"/>
        </c:manualLayout>
      </c:layout>
      <c:overlay val="0"/>
      <c:spPr>
        <a:ln w="3175">
          <a:solidFill>
            <a:schemeClr val="tx1">
              <a:shade val="95000"/>
              <a:satMod val="105000"/>
            </a:schemeClr>
          </a:solidFill>
        </a:ln>
      </c:spPr>
      <c:txPr>
        <a:bodyPr/>
        <a:lstStyle/>
        <a:p>
          <a:pPr algn="l" rtl="0">
            <a:defRPr/>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800">
          <a:solidFill>
            <a:schemeClr val="tx1"/>
          </a:solidFill>
          <a:latin typeface="+mj-ea"/>
          <a:ea typeface="+mj-ea"/>
        </a:defRPr>
      </a:pPr>
      <a:endParaRPr lang="ja-JP"/>
    </a:p>
  </c:txPr>
  <c:externalData r:id="rId1">
    <c:autoUpdate val="0"/>
  </c:externalData>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図５－１　住宅の構造別割合（昭和</a:t>
            </a:r>
            <a:r>
              <a:rPr lang="en-US" sz="900"/>
              <a:t>63</a:t>
            </a:r>
            <a:r>
              <a:rPr lang="ja-JP" sz="900"/>
              <a:t>年～平成30年）</a:t>
            </a:r>
          </a:p>
        </c:rich>
      </c:tx>
      <c:layout>
        <c:manualLayout>
          <c:xMode val="edge"/>
          <c:yMode val="edge"/>
          <c:x val="0.23744057185179751"/>
          <c:y val="1.3242678661191208E-2"/>
        </c:manualLayout>
      </c:layout>
      <c:overlay val="0"/>
    </c:title>
    <c:autoTitleDeleted val="0"/>
    <c:plotArea>
      <c:layout>
        <c:manualLayout>
          <c:layoutTarget val="inner"/>
          <c:xMode val="edge"/>
          <c:yMode val="edge"/>
          <c:x val="0.12621481481481481"/>
          <c:y val="0.20356023516255337"/>
          <c:w val="0.82850870370370366"/>
          <c:h val="0.68785049980084501"/>
        </c:manualLayout>
      </c:layout>
      <c:barChart>
        <c:barDir val="bar"/>
        <c:grouping val="percentStacked"/>
        <c:varyColors val="0"/>
        <c:ser>
          <c:idx val="0"/>
          <c:order val="0"/>
          <c:tx>
            <c:strRef>
              <c:f>構造!$B$47</c:f>
              <c:strCache>
                <c:ptCount val="1"/>
                <c:pt idx="0">
                  <c:v>木造（防火木造を含む）</c:v>
                </c:pt>
              </c:strCache>
            </c:strRef>
          </c:tx>
          <c:spPr>
            <a:pattFill prst="pct40">
              <a:fgClr>
                <a:schemeClr val="accent5"/>
              </a:fgClr>
              <a:bgClr>
                <a:schemeClr val="bg1"/>
              </a:bgClr>
            </a:pattFill>
            <a:ln w="3175">
              <a:solidFill>
                <a:schemeClr val="tx1">
                  <a:shade val="95000"/>
                  <a:satMod val="105000"/>
                </a:schemeClr>
              </a:solidFill>
            </a:ln>
          </c:spPr>
          <c:invertIfNegative val="0"/>
          <c:dLbls>
            <c:numFmt formatCode="#,##0.0_);[Red]\(#,##0.0\)" sourceLinked="0"/>
            <c:spPr>
              <a:solidFill>
                <a:schemeClr val="bg1"/>
              </a:solidFill>
            </c:spPr>
            <c:txPr>
              <a:bodyPr rot="0"/>
              <a:lstStyle/>
              <a:p>
                <a:pPr algn="ctr" rtl="0">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構造!$A$48:$A$54</c:f>
              <c:strCache>
                <c:ptCount val="7"/>
                <c:pt idx="0">
                  <c:v>昭和63年</c:v>
                </c:pt>
                <c:pt idx="1">
                  <c:v>平成5年</c:v>
                </c:pt>
                <c:pt idx="2">
                  <c:v>10年</c:v>
                </c:pt>
                <c:pt idx="3">
                  <c:v>15年</c:v>
                </c:pt>
                <c:pt idx="4">
                  <c:v>20年</c:v>
                </c:pt>
                <c:pt idx="5">
                  <c:v>25年</c:v>
                </c:pt>
                <c:pt idx="6">
                  <c:v>30年</c:v>
                </c:pt>
              </c:strCache>
            </c:strRef>
          </c:cat>
          <c:val>
            <c:numRef>
              <c:f>構造!$B$48:$B$54</c:f>
              <c:numCache>
                <c:formatCode>General</c:formatCode>
                <c:ptCount val="7"/>
                <c:pt idx="0">
                  <c:v>93.7518420277041</c:v>
                </c:pt>
                <c:pt idx="1">
                  <c:v>91.064314171883893</c:v>
                </c:pt>
                <c:pt idx="2">
                  <c:v>90.018731602890028</c:v>
                </c:pt>
                <c:pt idx="3">
                  <c:v>89.484697881245097</c:v>
                </c:pt>
                <c:pt idx="4">
                  <c:v>88.640546936628965</c:v>
                </c:pt>
                <c:pt idx="5">
                  <c:v>87.172236503856041</c:v>
                </c:pt>
                <c:pt idx="6">
                  <c:v>88.561750911900006</c:v>
                </c:pt>
              </c:numCache>
            </c:numRef>
          </c:val>
          <c:extLst>
            <c:ext xmlns:c16="http://schemas.microsoft.com/office/drawing/2014/chart" uri="{C3380CC4-5D6E-409C-BE32-E72D297353CC}">
              <c16:uniqueId val="{00000000-9EDC-4EAA-B2B9-8AF5AB756256}"/>
            </c:ext>
          </c:extLst>
        </c:ser>
        <c:ser>
          <c:idx val="1"/>
          <c:order val="1"/>
          <c:tx>
            <c:strRef>
              <c:f>構造!$C$47</c:f>
              <c:strCache>
                <c:ptCount val="1"/>
                <c:pt idx="0">
                  <c:v>非木造</c:v>
                </c:pt>
              </c:strCache>
            </c:strRef>
          </c:tx>
          <c:spPr>
            <a:pattFill prst="pct20">
              <a:fgClr>
                <a:schemeClr val="accent5"/>
              </a:fgClr>
              <a:bgClr>
                <a:schemeClr val="bg1"/>
              </a:bgClr>
            </a:pattFill>
            <a:ln w="3175">
              <a:solidFill>
                <a:schemeClr val="tx1">
                  <a:shade val="95000"/>
                  <a:satMod val="105000"/>
                </a:schemeClr>
              </a:solidFill>
            </a:ln>
          </c:spPr>
          <c:invertIfNegative val="0"/>
          <c:dLbls>
            <c:numFmt formatCode="#,##0.0_);[Red]\(#,##0.0\)" sourceLinked="0"/>
            <c:spPr>
              <a:solidFill>
                <a:schemeClr val="bg1"/>
              </a:solidFill>
            </c:spPr>
            <c:txPr>
              <a:bodyPr rot="0"/>
              <a:lstStyle/>
              <a:p>
                <a:pPr algn="ctr" rtl="0">
                  <a:defRPr sz="600"/>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構造!$A$48:$A$54</c:f>
              <c:strCache>
                <c:ptCount val="7"/>
                <c:pt idx="0">
                  <c:v>昭和63年</c:v>
                </c:pt>
                <c:pt idx="1">
                  <c:v>平成5年</c:v>
                </c:pt>
                <c:pt idx="2">
                  <c:v>10年</c:v>
                </c:pt>
                <c:pt idx="3">
                  <c:v>15年</c:v>
                </c:pt>
                <c:pt idx="4">
                  <c:v>20年</c:v>
                </c:pt>
                <c:pt idx="5">
                  <c:v>25年</c:v>
                </c:pt>
                <c:pt idx="6">
                  <c:v>30年</c:v>
                </c:pt>
              </c:strCache>
            </c:strRef>
          </c:cat>
          <c:val>
            <c:numRef>
              <c:f>構造!$C$48:$C$54</c:f>
              <c:numCache>
                <c:formatCode>General</c:formatCode>
                <c:ptCount val="7"/>
                <c:pt idx="0">
                  <c:v>6.2776304155614495</c:v>
                </c:pt>
                <c:pt idx="1">
                  <c:v>8.9356858281161067</c:v>
                </c:pt>
                <c:pt idx="2">
                  <c:v>9.9545089644099534</c:v>
                </c:pt>
                <c:pt idx="3">
                  <c:v>10.515302118754905</c:v>
                </c:pt>
                <c:pt idx="4">
                  <c:v>11.359453063371022</c:v>
                </c:pt>
                <c:pt idx="5">
                  <c:v>12.827763496143959</c:v>
                </c:pt>
                <c:pt idx="6">
                  <c:v>11.412193850964043</c:v>
                </c:pt>
              </c:numCache>
            </c:numRef>
          </c:val>
          <c:extLst>
            <c:ext xmlns:c16="http://schemas.microsoft.com/office/drawing/2014/chart" uri="{C3380CC4-5D6E-409C-BE32-E72D297353CC}">
              <c16:uniqueId val="{00000001-9EDC-4EAA-B2B9-8AF5AB756256}"/>
            </c:ext>
          </c:extLst>
        </c:ser>
        <c:dLbls>
          <c:showLegendKey val="0"/>
          <c:showVal val="0"/>
          <c:showCatName val="0"/>
          <c:showSerName val="0"/>
          <c:showPercent val="0"/>
          <c:showBubbleSize val="0"/>
        </c:dLbls>
        <c:gapWidth val="45"/>
        <c:overlap val="100"/>
        <c:serLines>
          <c:spPr>
            <a:ln w="1905">
              <a:solidFill>
                <a:schemeClr val="tx1">
                  <a:shade val="95000"/>
                  <a:satMod val="105000"/>
                </a:schemeClr>
              </a:solidFill>
              <a:prstDash val="sysDot"/>
            </a:ln>
          </c:spPr>
        </c:serLines>
        <c:axId val="141652736"/>
        <c:axId val="141654272"/>
      </c:barChart>
      <c:catAx>
        <c:axId val="141652736"/>
        <c:scaling>
          <c:orientation val="maxMin"/>
        </c:scaling>
        <c:delete val="0"/>
        <c:axPos val="l"/>
        <c:numFmt formatCode="General" sourceLinked="1"/>
        <c:majorTickMark val="in"/>
        <c:minorTickMark val="none"/>
        <c:tickLblPos val="nextTo"/>
        <c:txPr>
          <a:bodyPr/>
          <a:lstStyle/>
          <a:p>
            <a:pPr algn="ctr" rtl="0">
              <a:defRPr sz="900"/>
            </a:pPr>
            <a:endParaRPr lang="ja-JP"/>
          </a:p>
        </c:txPr>
        <c:crossAx val="141654272"/>
        <c:crosses val="autoZero"/>
        <c:auto val="1"/>
        <c:lblAlgn val="ctr"/>
        <c:lblOffset val="100"/>
        <c:noMultiLvlLbl val="0"/>
      </c:catAx>
      <c:valAx>
        <c:axId val="141654272"/>
        <c:scaling>
          <c:orientation val="minMax"/>
          <c:min val="0"/>
        </c:scaling>
        <c:delete val="0"/>
        <c:axPos val="t"/>
        <c:majorGridlines>
          <c:spPr>
            <a:ln>
              <a:prstDash val="sysDash"/>
            </a:ln>
          </c:spPr>
        </c:majorGridlines>
        <c:numFmt formatCode="0%" sourceLinked="1"/>
        <c:majorTickMark val="in"/>
        <c:minorTickMark val="in"/>
        <c:tickLblPos val="high"/>
        <c:txPr>
          <a:bodyPr/>
          <a:lstStyle/>
          <a:p>
            <a:pPr algn="ctr" rtl="0">
              <a:defRPr sz="800"/>
            </a:pPr>
            <a:endParaRPr lang="ja-JP"/>
          </a:p>
        </c:txPr>
        <c:crossAx val="141652736"/>
        <c:crosses val="autoZero"/>
        <c:crossBetween val="between"/>
        <c:majorUnit val="0.2"/>
        <c:minorUnit val="0.1"/>
      </c:valAx>
      <c:spPr>
        <a:ln w="3175">
          <a:solidFill>
            <a:schemeClr val="tx1">
              <a:tint val="75000"/>
              <a:shade val="95000"/>
              <a:satMod val="105000"/>
            </a:schemeClr>
          </a:solidFill>
        </a:ln>
      </c:spPr>
    </c:plotArea>
    <c:legend>
      <c:legendPos val="t"/>
      <c:layout>
        <c:manualLayout>
          <c:xMode val="edge"/>
          <c:yMode val="edge"/>
          <c:x val="0.36307745075828957"/>
          <c:y val="0.10428557265331893"/>
          <c:w val="0.34241811890211954"/>
          <c:h val="6.5926915221852317E-2"/>
        </c:manualLayout>
      </c:layout>
      <c:overlay val="0"/>
      <c:spPr>
        <a:ln w="1905">
          <a:solidFill>
            <a:schemeClr val="tx1"/>
          </a:solidFill>
        </a:ln>
      </c:spPr>
      <c:txPr>
        <a:bodyPr/>
        <a:lstStyle/>
        <a:p>
          <a:pPr algn="l" rtl="0">
            <a:defRPr sz="6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ＭＳ ゴシック" panose="020B0609070205080204" pitchFamily="49" charset="-128"/>
          <a:ea typeface="ＭＳ ゴシック" panose="020B0609070205080204" pitchFamily="49" charset="-128"/>
        </a:defRPr>
      </a:pPr>
      <a:endParaRPr lang="ja-JP"/>
    </a:p>
  </c:txPr>
  <c:externalData r:id="rId1">
    <c:autoUpdate val="0"/>
  </c:externalData>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図５－２　都道府県別木造率（平成</a:t>
            </a:r>
            <a:r>
              <a:rPr lang="en-US" altLang="ja-JP" sz="900"/>
              <a:t>30</a:t>
            </a:r>
            <a:r>
              <a:rPr lang="ja-JP" sz="900"/>
              <a:t>年）</a:t>
            </a:r>
          </a:p>
        </c:rich>
      </c:tx>
      <c:layout>
        <c:manualLayout>
          <c:xMode val="edge"/>
          <c:yMode val="edge"/>
          <c:x val="0.29259905807152536"/>
          <c:y val="5.4570081011781207E-3"/>
        </c:manualLayout>
      </c:layout>
      <c:overlay val="0"/>
    </c:title>
    <c:autoTitleDeleted val="0"/>
    <c:plotArea>
      <c:layout>
        <c:manualLayout>
          <c:layoutTarget val="inner"/>
          <c:xMode val="edge"/>
          <c:yMode val="edge"/>
          <c:x val="5.9830545816809397E-2"/>
          <c:y val="0.10151234260274428"/>
          <c:w val="0.89736017123075618"/>
          <c:h val="0.70822020665138374"/>
        </c:manualLayout>
      </c:layout>
      <c:barChart>
        <c:barDir val="col"/>
        <c:grouping val="clustered"/>
        <c:varyColors val="0"/>
        <c:ser>
          <c:idx val="0"/>
          <c:order val="0"/>
          <c:spPr>
            <a:solidFill>
              <a:schemeClr val="accent5"/>
            </a:solidFill>
            <a:ln>
              <a:noFill/>
            </a:ln>
          </c:spPr>
          <c:invertIfNegative val="0"/>
          <c:dPt>
            <c:idx val="0"/>
            <c:invertIfNegative val="0"/>
            <c:bubble3D val="0"/>
            <c:spPr>
              <a:pattFill prst="ltUpDiag">
                <a:fgClr>
                  <a:schemeClr val="accent5"/>
                </a:fgClr>
                <a:bgClr>
                  <a:schemeClr val="bg1"/>
                </a:bgClr>
              </a:pattFill>
              <a:ln>
                <a:solidFill>
                  <a:schemeClr val="tx1"/>
                </a:solidFill>
              </a:ln>
            </c:spPr>
            <c:extLst>
              <c:ext xmlns:c16="http://schemas.microsoft.com/office/drawing/2014/chart" uri="{C3380CC4-5D6E-409C-BE32-E72D297353CC}">
                <c16:uniqueId val="{00000001-A235-4EF5-8449-2594F68B8B35}"/>
              </c:ext>
            </c:extLst>
          </c:dPt>
          <c:dPt>
            <c:idx val="1"/>
            <c:invertIfNegative val="0"/>
            <c:bubble3D val="0"/>
            <c:spPr>
              <a:solidFill>
                <a:schemeClr val="accent5"/>
              </a:solidFill>
              <a:ln w="3175">
                <a:noFill/>
              </a:ln>
            </c:spPr>
            <c:extLst>
              <c:ext xmlns:c16="http://schemas.microsoft.com/office/drawing/2014/chart" uri="{C3380CC4-5D6E-409C-BE32-E72D297353CC}">
                <c16:uniqueId val="{00000003-A235-4EF5-8449-2594F68B8B35}"/>
              </c:ext>
            </c:extLst>
          </c:dPt>
          <c:dPt>
            <c:idx val="8"/>
            <c:invertIfNegative val="0"/>
            <c:bubble3D val="0"/>
            <c:spPr>
              <a:solidFill>
                <a:schemeClr val="accent5"/>
              </a:solidFill>
              <a:ln w="3175">
                <a:noFill/>
              </a:ln>
            </c:spPr>
            <c:extLst>
              <c:ext xmlns:c16="http://schemas.microsoft.com/office/drawing/2014/chart" uri="{C3380CC4-5D6E-409C-BE32-E72D297353CC}">
                <c16:uniqueId val="{00000005-A235-4EF5-8449-2594F68B8B35}"/>
              </c:ext>
            </c:extLst>
          </c:dPt>
          <c:dPt>
            <c:idx val="12"/>
            <c:invertIfNegative val="0"/>
            <c:bubble3D val="0"/>
            <c:spPr>
              <a:solidFill>
                <a:schemeClr val="accent5"/>
              </a:solidFill>
              <a:ln w="3175">
                <a:noFill/>
              </a:ln>
            </c:spPr>
            <c:extLst>
              <c:ext xmlns:c16="http://schemas.microsoft.com/office/drawing/2014/chart" uri="{C3380CC4-5D6E-409C-BE32-E72D297353CC}">
                <c16:uniqueId val="{00000007-A235-4EF5-8449-2594F68B8B35}"/>
              </c:ext>
            </c:extLst>
          </c:dPt>
          <c:dPt>
            <c:idx val="31"/>
            <c:invertIfNegative val="0"/>
            <c:bubble3D val="0"/>
            <c:spPr>
              <a:solidFill>
                <a:schemeClr val="accent5"/>
              </a:solidFill>
              <a:ln w="3175">
                <a:noFill/>
              </a:ln>
            </c:spPr>
            <c:extLst>
              <c:ext xmlns:c16="http://schemas.microsoft.com/office/drawing/2014/chart" uri="{C3380CC4-5D6E-409C-BE32-E72D297353CC}">
                <c16:uniqueId val="{00000009-A235-4EF5-8449-2594F68B8B35}"/>
              </c:ext>
            </c:extLst>
          </c:dPt>
          <c:dPt>
            <c:idx val="35"/>
            <c:invertIfNegative val="0"/>
            <c:bubble3D val="0"/>
            <c:spPr>
              <a:solidFill>
                <a:schemeClr val="accent5"/>
              </a:solidFill>
              <a:ln w="3175">
                <a:noFill/>
              </a:ln>
            </c:spPr>
            <c:extLst>
              <c:ext xmlns:c16="http://schemas.microsoft.com/office/drawing/2014/chart" uri="{C3380CC4-5D6E-409C-BE32-E72D297353CC}">
                <c16:uniqueId val="{0000000B-A235-4EF5-8449-2594F68B8B35}"/>
              </c:ext>
            </c:extLst>
          </c:dPt>
          <c:dPt>
            <c:idx val="37"/>
            <c:invertIfNegative val="0"/>
            <c:bubble3D val="0"/>
            <c:spPr>
              <a:solidFill>
                <a:schemeClr val="accent5"/>
              </a:solidFill>
              <a:ln w="3175">
                <a:noFill/>
              </a:ln>
            </c:spPr>
            <c:extLst>
              <c:ext xmlns:c16="http://schemas.microsoft.com/office/drawing/2014/chart" uri="{C3380CC4-5D6E-409C-BE32-E72D297353CC}">
                <c16:uniqueId val="{0000000D-A235-4EF5-8449-2594F68B8B35}"/>
              </c:ext>
            </c:extLst>
          </c:dPt>
          <c:dPt>
            <c:idx val="38"/>
            <c:invertIfNegative val="0"/>
            <c:bubble3D val="0"/>
            <c:spPr>
              <a:pattFill prst="pct20">
                <a:fgClr>
                  <a:schemeClr val="accent5"/>
                </a:fgClr>
                <a:bgClr>
                  <a:schemeClr val="bg1"/>
                </a:bgClr>
              </a:pattFill>
              <a:ln>
                <a:solidFill>
                  <a:schemeClr val="tx1"/>
                </a:solidFill>
              </a:ln>
            </c:spPr>
            <c:extLst>
              <c:ext xmlns:c16="http://schemas.microsoft.com/office/drawing/2014/chart" uri="{C3380CC4-5D6E-409C-BE32-E72D297353CC}">
                <c16:uniqueId val="{0000000F-A235-4EF5-8449-2594F68B8B35}"/>
              </c:ext>
            </c:extLst>
          </c:dPt>
          <c:dPt>
            <c:idx val="39"/>
            <c:invertIfNegative val="0"/>
            <c:bubble3D val="0"/>
            <c:spPr>
              <a:solidFill>
                <a:schemeClr val="accent5"/>
              </a:solidFill>
              <a:ln w="3175">
                <a:noFill/>
              </a:ln>
            </c:spPr>
            <c:extLst>
              <c:ext xmlns:c16="http://schemas.microsoft.com/office/drawing/2014/chart" uri="{C3380CC4-5D6E-409C-BE32-E72D297353CC}">
                <c16:uniqueId val="{00000011-A235-4EF5-8449-2594F68B8B35}"/>
              </c:ext>
            </c:extLst>
          </c:dPt>
          <c:dPt>
            <c:idx val="47"/>
            <c:invertIfNegative val="0"/>
            <c:bubble3D val="0"/>
            <c:spPr>
              <a:solidFill>
                <a:schemeClr val="accent5"/>
              </a:solidFill>
              <a:ln w="3175">
                <a:noFill/>
              </a:ln>
            </c:spPr>
            <c:extLst>
              <c:ext xmlns:c16="http://schemas.microsoft.com/office/drawing/2014/chart" uri="{C3380CC4-5D6E-409C-BE32-E72D297353CC}">
                <c16:uniqueId val="{00000013-A235-4EF5-8449-2594F68B8B35}"/>
              </c:ext>
            </c:extLst>
          </c:dPt>
          <c:dLbls>
            <c:dLbl>
              <c:idx val="0"/>
              <c:layout>
                <c:manualLayout>
                  <c:x val="1.3576792161669264E-2"/>
                  <c:y val="2.3678357201492833E-2"/>
                </c:manualLayout>
              </c:layout>
              <c:spPr/>
              <c:txPr>
                <a:bodyPr/>
                <a:lstStyle/>
                <a:p>
                  <a:pPr>
                    <a:defRPr sz="8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35-4EF5-8449-2594F68B8B35}"/>
                </c:ext>
              </c:extLst>
            </c:dLbl>
            <c:dLbl>
              <c:idx val="38"/>
              <c:spPr/>
              <c:txPr>
                <a:bodyPr/>
                <a:lstStyle/>
                <a:p>
                  <a:pPr>
                    <a:defRPr sz="800"/>
                  </a:pPr>
                  <a:endParaRPr lang="ja-JP"/>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235-4EF5-8449-2594F68B8B3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構造!$C$82:$C$129</c:f>
              <c:strCache>
                <c:ptCount val="48"/>
                <c:pt idx="0">
                  <c:v>秋田県</c:v>
                </c:pt>
                <c:pt idx="1">
                  <c:v>青森県</c:v>
                </c:pt>
                <c:pt idx="2">
                  <c:v>山形県</c:v>
                </c:pt>
                <c:pt idx="3">
                  <c:v>新潟県</c:v>
                </c:pt>
                <c:pt idx="4">
                  <c:v>岩手県</c:v>
                </c:pt>
                <c:pt idx="5">
                  <c:v>富山県</c:v>
                </c:pt>
                <c:pt idx="6">
                  <c:v>島根県</c:v>
                </c:pt>
                <c:pt idx="7">
                  <c:v>群馬県</c:v>
                </c:pt>
                <c:pt idx="8">
                  <c:v>福井県</c:v>
                </c:pt>
                <c:pt idx="9">
                  <c:v>福島県</c:v>
                </c:pt>
                <c:pt idx="10">
                  <c:v>茨城県</c:v>
                </c:pt>
                <c:pt idx="11">
                  <c:v>長野県</c:v>
                </c:pt>
                <c:pt idx="12">
                  <c:v>石川県</c:v>
                </c:pt>
                <c:pt idx="13">
                  <c:v>栃木県</c:v>
                </c:pt>
                <c:pt idx="14">
                  <c:v>山梨県</c:v>
                </c:pt>
                <c:pt idx="15">
                  <c:v>鳥取県</c:v>
                </c:pt>
                <c:pt idx="16">
                  <c:v>佐賀県</c:v>
                </c:pt>
                <c:pt idx="17">
                  <c:v>岐阜県</c:v>
                </c:pt>
                <c:pt idx="18">
                  <c:v>宮崎県</c:v>
                </c:pt>
                <c:pt idx="19">
                  <c:v>北海道</c:v>
                </c:pt>
                <c:pt idx="20">
                  <c:v>三重県</c:v>
                </c:pt>
                <c:pt idx="21">
                  <c:v>和歌山県</c:v>
                </c:pt>
                <c:pt idx="22">
                  <c:v>鹿児島県</c:v>
                </c:pt>
                <c:pt idx="23">
                  <c:v>長崎県</c:v>
                </c:pt>
                <c:pt idx="24">
                  <c:v>香川県</c:v>
                </c:pt>
                <c:pt idx="25">
                  <c:v>岡山県</c:v>
                </c:pt>
                <c:pt idx="26">
                  <c:v>愛媛県</c:v>
                </c:pt>
                <c:pt idx="27">
                  <c:v>高知県</c:v>
                </c:pt>
                <c:pt idx="28">
                  <c:v>熊本県</c:v>
                </c:pt>
                <c:pt idx="29">
                  <c:v>徳島県</c:v>
                </c:pt>
                <c:pt idx="30">
                  <c:v>宮城県</c:v>
                </c:pt>
                <c:pt idx="31">
                  <c:v>奈良県</c:v>
                </c:pt>
                <c:pt idx="32">
                  <c:v>静岡県</c:v>
                </c:pt>
                <c:pt idx="33">
                  <c:v>山口県</c:v>
                </c:pt>
                <c:pt idx="34">
                  <c:v>大分県</c:v>
                </c:pt>
                <c:pt idx="35">
                  <c:v>滋賀県</c:v>
                </c:pt>
                <c:pt idx="36">
                  <c:v>埼玉県</c:v>
                </c:pt>
                <c:pt idx="37">
                  <c:v>千葉県</c:v>
                </c:pt>
                <c:pt idx="38">
                  <c:v>全国</c:v>
                </c:pt>
                <c:pt idx="39">
                  <c:v>広島県</c:v>
                </c:pt>
                <c:pt idx="40">
                  <c:v>京都府</c:v>
                </c:pt>
                <c:pt idx="41">
                  <c:v>兵庫県</c:v>
                </c:pt>
                <c:pt idx="42">
                  <c:v>愛知県</c:v>
                </c:pt>
                <c:pt idx="43">
                  <c:v>神奈川県</c:v>
                </c:pt>
                <c:pt idx="44">
                  <c:v>福岡県</c:v>
                </c:pt>
                <c:pt idx="45">
                  <c:v>大阪府</c:v>
                </c:pt>
                <c:pt idx="46">
                  <c:v>東京都</c:v>
                </c:pt>
                <c:pt idx="47">
                  <c:v>沖縄県</c:v>
                </c:pt>
              </c:strCache>
            </c:strRef>
          </c:cat>
          <c:val>
            <c:numRef>
              <c:f>構造!$D$82:$D$129</c:f>
              <c:numCache>
                <c:formatCode>0.0_ </c:formatCode>
                <c:ptCount val="48"/>
                <c:pt idx="0">
                  <c:v>88.561750911933302</c:v>
                </c:pt>
                <c:pt idx="1">
                  <c:v>86.839481555334004</c:v>
                </c:pt>
                <c:pt idx="2">
                  <c:v>83.723296032553407</c:v>
                </c:pt>
                <c:pt idx="3">
                  <c:v>83.477436930001176</c:v>
                </c:pt>
                <c:pt idx="4">
                  <c:v>82.030603804797352</c:v>
                </c:pt>
                <c:pt idx="5">
                  <c:v>78.511128165771296</c:v>
                </c:pt>
                <c:pt idx="6">
                  <c:v>77.068379297317719</c:v>
                </c:pt>
                <c:pt idx="7">
                  <c:v>76.646325959827095</c:v>
                </c:pt>
                <c:pt idx="8">
                  <c:v>76.262083780880772</c:v>
                </c:pt>
                <c:pt idx="9">
                  <c:v>76.213924223772395</c:v>
                </c:pt>
                <c:pt idx="10">
                  <c:v>75.945322208414694</c:v>
                </c:pt>
                <c:pt idx="11">
                  <c:v>75.663277956855936</c:v>
                </c:pt>
                <c:pt idx="12">
                  <c:v>74.439560439560438</c:v>
                </c:pt>
                <c:pt idx="13">
                  <c:v>74.349881796690312</c:v>
                </c:pt>
                <c:pt idx="14">
                  <c:v>73.906439854191987</c:v>
                </c:pt>
                <c:pt idx="15">
                  <c:v>73.23747680890537</c:v>
                </c:pt>
                <c:pt idx="16">
                  <c:v>71.428571428571431</c:v>
                </c:pt>
                <c:pt idx="17">
                  <c:v>70.665067306410762</c:v>
                </c:pt>
                <c:pt idx="18">
                  <c:v>69.469795740982178</c:v>
                </c:pt>
                <c:pt idx="19">
                  <c:v>68.788016717010805</c:v>
                </c:pt>
                <c:pt idx="20">
                  <c:v>68.625</c:v>
                </c:pt>
                <c:pt idx="21">
                  <c:v>68.585569158635067</c:v>
                </c:pt>
                <c:pt idx="22">
                  <c:v>68.519040902679833</c:v>
                </c:pt>
                <c:pt idx="23">
                  <c:v>67.795389048991353</c:v>
                </c:pt>
                <c:pt idx="24">
                  <c:v>67.354124748490946</c:v>
                </c:pt>
                <c:pt idx="25">
                  <c:v>66.969264686811044</c:v>
                </c:pt>
                <c:pt idx="26">
                  <c:v>66.632266941864458</c:v>
                </c:pt>
                <c:pt idx="27">
                  <c:v>66.518706404565634</c:v>
                </c:pt>
                <c:pt idx="28">
                  <c:v>66.108007448789579</c:v>
                </c:pt>
                <c:pt idx="29">
                  <c:v>65.836881755650182</c:v>
                </c:pt>
                <c:pt idx="30">
                  <c:v>65.81375838926175</c:v>
                </c:pt>
                <c:pt idx="31">
                  <c:v>65.746691871455582</c:v>
                </c:pt>
                <c:pt idx="32">
                  <c:v>64.514770893270651</c:v>
                </c:pt>
                <c:pt idx="33">
                  <c:v>64.433164128595593</c:v>
                </c:pt>
                <c:pt idx="34">
                  <c:v>63.366542133665426</c:v>
                </c:pt>
                <c:pt idx="35">
                  <c:v>63.020257826887658</c:v>
                </c:pt>
                <c:pt idx="36">
                  <c:v>59.550821949525357</c:v>
                </c:pt>
                <c:pt idx="37">
                  <c:v>58.73557984213722</c:v>
                </c:pt>
                <c:pt idx="38">
                  <c:v>56.973159281785577</c:v>
                </c:pt>
                <c:pt idx="39">
                  <c:v>56.245863666446063</c:v>
                </c:pt>
                <c:pt idx="40">
                  <c:v>55.405988437311251</c:v>
                </c:pt>
                <c:pt idx="41">
                  <c:v>50.080131675834885</c:v>
                </c:pt>
                <c:pt idx="42">
                  <c:v>49.182197315261305</c:v>
                </c:pt>
                <c:pt idx="43">
                  <c:v>48.942500000000003</c:v>
                </c:pt>
                <c:pt idx="44">
                  <c:v>46.909334524341226</c:v>
                </c:pt>
                <c:pt idx="45">
                  <c:v>41.244683005874009</c:v>
                </c:pt>
                <c:pt idx="46">
                  <c:v>34.954081257806187</c:v>
                </c:pt>
                <c:pt idx="47">
                  <c:v>3.4315424610051992</c:v>
                </c:pt>
              </c:numCache>
            </c:numRef>
          </c:val>
          <c:extLst>
            <c:ext xmlns:c16="http://schemas.microsoft.com/office/drawing/2014/chart" uri="{C3380CC4-5D6E-409C-BE32-E72D297353CC}">
              <c16:uniqueId val="{00000014-A235-4EF5-8449-2594F68B8B35}"/>
            </c:ext>
          </c:extLst>
        </c:ser>
        <c:dLbls>
          <c:showLegendKey val="0"/>
          <c:showVal val="0"/>
          <c:showCatName val="0"/>
          <c:showSerName val="0"/>
          <c:showPercent val="0"/>
          <c:showBubbleSize val="0"/>
        </c:dLbls>
        <c:gapWidth val="76"/>
        <c:axId val="141760384"/>
        <c:axId val="141761920"/>
      </c:barChart>
      <c:catAx>
        <c:axId val="141760384"/>
        <c:scaling>
          <c:orientation val="minMax"/>
        </c:scaling>
        <c:delete val="0"/>
        <c:axPos val="b"/>
        <c:numFmt formatCode="General" sourceLinked="1"/>
        <c:majorTickMark val="none"/>
        <c:minorTickMark val="none"/>
        <c:tickLblPos val="low"/>
        <c:spPr>
          <a:ln>
            <a:solidFill>
              <a:schemeClr val="tx1"/>
            </a:solidFill>
          </a:ln>
        </c:spPr>
        <c:txPr>
          <a:bodyPr vert="eaVert"/>
          <a:lstStyle/>
          <a:p>
            <a:pPr algn="ctr" rtl="0">
              <a:defRPr sz="600"/>
            </a:pPr>
            <a:endParaRPr lang="ja-JP"/>
          </a:p>
        </c:txPr>
        <c:crossAx val="141761920"/>
        <c:crosses val="autoZero"/>
        <c:auto val="1"/>
        <c:lblAlgn val="ctr"/>
        <c:lblOffset val="100"/>
        <c:noMultiLvlLbl val="0"/>
      </c:catAx>
      <c:valAx>
        <c:axId val="141761920"/>
        <c:scaling>
          <c:orientation val="minMax"/>
        </c:scaling>
        <c:delete val="0"/>
        <c:axPos val="l"/>
        <c:majorGridlines>
          <c:spPr>
            <a:ln>
              <a:solidFill>
                <a:schemeClr val="tx1"/>
              </a:solidFill>
              <a:prstDash val="sysDot"/>
            </a:ln>
          </c:spPr>
        </c:majorGridlines>
        <c:numFmt formatCode="#,##0_);[Red]\(#,##0\)" sourceLinked="0"/>
        <c:majorTickMark val="in"/>
        <c:minorTickMark val="none"/>
        <c:tickLblPos val="nextTo"/>
        <c:spPr>
          <a:ln>
            <a:solidFill>
              <a:schemeClr val="tx1"/>
            </a:solidFill>
          </a:ln>
        </c:spPr>
        <c:txPr>
          <a:bodyPr/>
          <a:lstStyle/>
          <a:p>
            <a:pPr algn="ctr" rtl="0">
              <a:defRPr sz="800"/>
            </a:pPr>
            <a:endParaRPr lang="ja-JP"/>
          </a:p>
        </c:txPr>
        <c:crossAx val="141760384"/>
        <c:crosses val="autoZero"/>
        <c:crossBetween val="between"/>
        <c:majorUnit val="20"/>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図５－</a:t>
            </a:r>
            <a:r>
              <a:rPr lang="ja-JP" altLang="en-US" sz="900"/>
              <a:t>３</a:t>
            </a:r>
            <a:r>
              <a:rPr lang="ja-JP" sz="900"/>
              <a:t>　住宅の建て方別構造割合（平成30年）</a:t>
            </a:r>
            <a:endParaRPr lang="en-US" sz="900"/>
          </a:p>
        </c:rich>
      </c:tx>
      <c:layout>
        <c:manualLayout>
          <c:xMode val="edge"/>
          <c:yMode val="edge"/>
          <c:x val="0.26136803935335357"/>
          <c:y val="1.4111006585136407E-2"/>
        </c:manualLayout>
      </c:layout>
      <c:overlay val="0"/>
    </c:title>
    <c:autoTitleDeleted val="0"/>
    <c:plotArea>
      <c:layout>
        <c:manualLayout>
          <c:layoutTarget val="inner"/>
          <c:xMode val="edge"/>
          <c:yMode val="edge"/>
          <c:x val="9.795394122130123E-2"/>
          <c:y val="0.18143917133980123"/>
          <c:w val="0.85576707063093083"/>
          <c:h val="0.70970103925156114"/>
        </c:manualLayout>
      </c:layout>
      <c:barChart>
        <c:barDir val="bar"/>
        <c:grouping val="percentStacked"/>
        <c:varyColors val="0"/>
        <c:ser>
          <c:idx val="0"/>
          <c:order val="0"/>
          <c:tx>
            <c:strRef>
              <c:f>構造!$B$65</c:f>
              <c:strCache>
                <c:ptCount val="1"/>
                <c:pt idx="0">
                  <c:v>木造</c:v>
                </c:pt>
              </c:strCache>
            </c:strRef>
          </c:tx>
          <c:spPr>
            <a:pattFill prst="pct40">
              <a:fgClr>
                <a:schemeClr val="accent5"/>
              </a:fgClr>
              <a:bgClr>
                <a:schemeClr val="bg1"/>
              </a:bgClr>
            </a:pattFill>
            <a:ln w="3175">
              <a:solidFill>
                <a:schemeClr val="tx1">
                  <a:shade val="95000"/>
                  <a:satMod val="105000"/>
                </a:schemeClr>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構造!$A$66:$A$69</c:f>
              <c:strCache>
                <c:ptCount val="4"/>
                <c:pt idx="0">
                  <c:v>一戸建</c:v>
                </c:pt>
                <c:pt idx="1">
                  <c:v>長屋建</c:v>
                </c:pt>
                <c:pt idx="2">
                  <c:v>共同住宅</c:v>
                </c:pt>
                <c:pt idx="3">
                  <c:v>その他</c:v>
                </c:pt>
              </c:strCache>
            </c:strRef>
          </c:cat>
          <c:val>
            <c:numRef>
              <c:f>構造!$B$66:$B$69</c:f>
              <c:numCache>
                <c:formatCode>General</c:formatCode>
                <c:ptCount val="4"/>
                <c:pt idx="0">
                  <c:v>99.118223</c:v>
                </c:pt>
                <c:pt idx="1">
                  <c:v>77.011494252800006</c:v>
                </c:pt>
                <c:pt idx="2">
                  <c:v>42.815249266800002</c:v>
                </c:pt>
                <c:pt idx="3">
                  <c:v>71.428571428500007</c:v>
                </c:pt>
              </c:numCache>
            </c:numRef>
          </c:val>
          <c:extLst>
            <c:ext xmlns:c16="http://schemas.microsoft.com/office/drawing/2014/chart" uri="{C3380CC4-5D6E-409C-BE32-E72D297353CC}">
              <c16:uniqueId val="{00000000-271B-493D-8D1D-A912A7C9E2CA}"/>
            </c:ext>
          </c:extLst>
        </c:ser>
        <c:ser>
          <c:idx val="1"/>
          <c:order val="1"/>
          <c:tx>
            <c:strRef>
              <c:f>構造!$C$65</c:f>
              <c:strCache>
                <c:ptCount val="1"/>
                <c:pt idx="0">
                  <c:v>非木造</c:v>
                </c:pt>
              </c:strCache>
            </c:strRef>
          </c:tx>
          <c:spPr>
            <a:pattFill prst="pct20">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1-271B-493D-8D1D-A912A7C9E2CA}"/>
              </c:ext>
            </c:extLst>
          </c:dPt>
          <c:dLbls>
            <c:dLbl>
              <c:idx val="0"/>
              <c:delete val="1"/>
              <c:extLst>
                <c:ext xmlns:c15="http://schemas.microsoft.com/office/drawing/2012/chart" uri="{CE6537A1-D6FC-4f65-9D91-7224C49458BB}"/>
                <c:ext xmlns:c16="http://schemas.microsoft.com/office/drawing/2014/chart" uri="{C3380CC4-5D6E-409C-BE32-E72D297353CC}">
                  <c16:uniqueId val="{00000001-271B-493D-8D1D-A912A7C9E2CA}"/>
                </c:ext>
              </c:extLst>
            </c:dLbl>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構造!$A$66:$A$69</c:f>
              <c:strCache>
                <c:ptCount val="4"/>
                <c:pt idx="0">
                  <c:v>一戸建</c:v>
                </c:pt>
                <c:pt idx="1">
                  <c:v>長屋建</c:v>
                </c:pt>
                <c:pt idx="2">
                  <c:v>共同住宅</c:v>
                </c:pt>
                <c:pt idx="3">
                  <c:v>その他</c:v>
                </c:pt>
              </c:strCache>
            </c:strRef>
          </c:cat>
          <c:val>
            <c:numRef>
              <c:f>構造!$C$66:$C$69</c:f>
              <c:numCache>
                <c:formatCode>General</c:formatCode>
                <c:ptCount val="4"/>
                <c:pt idx="0">
                  <c:v>0.88177661600000001</c:v>
                </c:pt>
                <c:pt idx="1">
                  <c:v>22.988505747000001</c:v>
                </c:pt>
                <c:pt idx="2">
                  <c:v>57.038123167099997</c:v>
                </c:pt>
                <c:pt idx="3">
                  <c:v>28.571428571399998</c:v>
                </c:pt>
              </c:numCache>
            </c:numRef>
          </c:val>
          <c:extLst>
            <c:ext xmlns:c16="http://schemas.microsoft.com/office/drawing/2014/chart" uri="{C3380CC4-5D6E-409C-BE32-E72D297353CC}">
              <c16:uniqueId val="{00000002-271B-493D-8D1D-A912A7C9E2CA}"/>
            </c:ext>
          </c:extLst>
        </c:ser>
        <c:dLbls>
          <c:showLegendKey val="0"/>
          <c:showVal val="0"/>
          <c:showCatName val="0"/>
          <c:showSerName val="0"/>
          <c:showPercent val="0"/>
          <c:showBubbleSize val="0"/>
        </c:dLbls>
        <c:gapWidth val="75"/>
        <c:overlap val="100"/>
        <c:axId val="141802496"/>
        <c:axId val="13705984"/>
      </c:barChart>
      <c:catAx>
        <c:axId val="141802496"/>
        <c:scaling>
          <c:orientation val="maxMin"/>
        </c:scaling>
        <c:delete val="0"/>
        <c:axPos val="l"/>
        <c:numFmt formatCode="General" sourceLinked="1"/>
        <c:majorTickMark val="in"/>
        <c:minorTickMark val="none"/>
        <c:tickLblPos val="nextTo"/>
        <c:spPr>
          <a:ln>
            <a:solidFill>
              <a:schemeClr val="tx1"/>
            </a:solidFill>
          </a:ln>
        </c:spPr>
        <c:txPr>
          <a:bodyPr/>
          <a:lstStyle/>
          <a:p>
            <a:pPr algn="ctr" rtl="0">
              <a:defRPr sz="800"/>
            </a:pPr>
            <a:endParaRPr lang="ja-JP"/>
          </a:p>
        </c:txPr>
        <c:crossAx val="13705984"/>
        <c:crosses val="autoZero"/>
        <c:auto val="1"/>
        <c:lblAlgn val="ctr"/>
        <c:lblOffset val="100"/>
        <c:noMultiLvlLbl val="0"/>
      </c:catAx>
      <c:valAx>
        <c:axId val="13705984"/>
        <c:scaling>
          <c:orientation val="minMax"/>
          <c:min val="0"/>
        </c:scaling>
        <c:delete val="0"/>
        <c:axPos val="t"/>
        <c:majorGridlines>
          <c:spPr>
            <a:ln>
              <a:solidFill>
                <a:schemeClr val="tx1"/>
              </a:solidFill>
              <a:prstDash val="solid"/>
            </a:ln>
          </c:spPr>
        </c:majorGridlines>
        <c:numFmt formatCode="0%" sourceLinked="1"/>
        <c:majorTickMark val="in"/>
        <c:minorTickMark val="none"/>
        <c:tickLblPos val="high"/>
        <c:spPr>
          <a:ln>
            <a:solidFill>
              <a:schemeClr val="tx1"/>
            </a:solidFill>
          </a:ln>
        </c:spPr>
        <c:txPr>
          <a:bodyPr/>
          <a:lstStyle/>
          <a:p>
            <a:pPr algn="ctr" rtl="0">
              <a:defRPr/>
            </a:pPr>
            <a:endParaRPr lang="ja-JP"/>
          </a:p>
        </c:txPr>
        <c:crossAx val="141802496"/>
        <c:crosses val="autoZero"/>
        <c:crossBetween val="between"/>
        <c:majorUnit val="0.2"/>
        <c:minorUnit val="0.1"/>
      </c:valAx>
      <c:spPr>
        <a:ln>
          <a:solidFill>
            <a:schemeClr val="tx1"/>
          </a:solidFill>
        </a:ln>
      </c:spPr>
    </c:plotArea>
    <c:legend>
      <c:legendPos val="t"/>
      <c:layout>
        <c:manualLayout>
          <c:xMode val="edge"/>
          <c:yMode val="edge"/>
          <c:x val="0.41104460680463761"/>
          <c:y val="8.7958607714016937E-2"/>
          <c:w val="0.19203049006576867"/>
          <c:h val="7.4680160107635882E-2"/>
        </c:manualLayout>
      </c:layout>
      <c:overlay val="0"/>
      <c:spPr>
        <a:ln w="1905">
          <a:solidFill>
            <a:schemeClr val="tx1"/>
          </a:solidFill>
        </a:ln>
      </c:spPr>
      <c:txPr>
        <a:bodyPr/>
        <a:lstStyle/>
        <a:p>
          <a:pPr algn="l" rtl="0">
            <a:defRPr sz="700"/>
          </a:pPr>
          <a:endParaRPr lang="ja-JP"/>
        </a:p>
      </c:txPr>
    </c:legend>
    <c:plotVisOnly val="1"/>
    <c:dispBlanksAs val="gap"/>
    <c:showDLblsOverMax val="0"/>
  </c:chart>
  <c:txPr>
    <a:bodyPr horzOverflow="overflow" anchor="ctr" anchorCtr="1"/>
    <a:lstStyle/>
    <a:p>
      <a:pPr algn="ctr" rtl="0">
        <a:defRPr lang="ja-JP" altLang="en-US" sz="900">
          <a:solidFill>
            <a:schemeClr val="tx1"/>
          </a:solidFill>
          <a:latin typeface="+mj-ea"/>
          <a:ea typeface="+mj-ea"/>
        </a:defRPr>
      </a:pPr>
      <a:endParaRPr lang="ja-JP"/>
    </a:p>
  </c:txPr>
  <c:externalData r:id="rId1">
    <c:autoUpdate val="0"/>
  </c:externalData>
  <c:userShapes r:id="rId2"/>
  <c:extLst/>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図６　建築の時期別割合－秋田県（平成</a:t>
            </a:r>
            <a:r>
              <a:rPr lang="en-US" sz="900"/>
              <a:t>30</a:t>
            </a:r>
            <a:r>
              <a:rPr lang="ja-JP" sz="900"/>
              <a:t>年）</a:t>
            </a:r>
          </a:p>
        </c:rich>
      </c:tx>
      <c:layout>
        <c:manualLayout>
          <c:xMode val="edge"/>
          <c:yMode val="edge"/>
          <c:x val="0.2632725256761474"/>
          <c:y val="1.8810251587114978E-2"/>
        </c:manualLayout>
      </c:layout>
      <c:overlay val="0"/>
    </c:title>
    <c:autoTitleDeleted val="0"/>
    <c:plotArea>
      <c:layout>
        <c:manualLayout>
          <c:layoutTarget val="inner"/>
          <c:xMode val="edge"/>
          <c:yMode val="edge"/>
          <c:x val="4.4016185476815399E-2"/>
          <c:y val="0.11557196309784108"/>
          <c:w val="0.91447681539807524"/>
          <c:h val="0.54305825808924135"/>
        </c:manualLayout>
      </c:layout>
      <c:barChart>
        <c:barDir val="bar"/>
        <c:grouping val="percentStacked"/>
        <c:varyColors val="0"/>
        <c:ser>
          <c:idx val="0"/>
          <c:order val="0"/>
          <c:tx>
            <c:strRef>
              <c:f>建築の時期!$A$27</c:f>
              <c:strCache>
                <c:ptCount val="1"/>
                <c:pt idx="0">
                  <c:v>昭和25年以前</c:v>
                </c:pt>
              </c:strCache>
            </c:strRef>
          </c:tx>
          <c:spPr>
            <a:pattFill prst="pct5">
              <a:fgClr>
                <a:schemeClr val="accent5"/>
              </a:fgClr>
              <a:bgClr>
                <a:schemeClr val="bg1"/>
              </a:bgClr>
            </a:pattFill>
            <a:ln w="3175">
              <a:solidFill>
                <a:schemeClr val="tx1"/>
              </a:solidFill>
            </a:ln>
          </c:spPr>
          <c:invertIfNegative val="0"/>
          <c:val>
            <c:numRef>
              <c:f>建築の時期!$A$28</c:f>
              <c:numCache>
                <c:formatCode>General</c:formatCode>
                <c:ptCount val="1"/>
                <c:pt idx="0">
                  <c:v>2.7725525476404678</c:v>
                </c:pt>
              </c:numCache>
            </c:numRef>
          </c:val>
          <c:extLst>
            <c:ext xmlns:c16="http://schemas.microsoft.com/office/drawing/2014/chart" uri="{C3380CC4-5D6E-409C-BE32-E72D297353CC}">
              <c16:uniqueId val="{00000000-0296-4817-8B1E-2AABBFEDE600}"/>
            </c:ext>
          </c:extLst>
        </c:ser>
        <c:ser>
          <c:idx val="1"/>
          <c:order val="1"/>
          <c:tx>
            <c:strRef>
              <c:f>建築の時期!$B$27</c:f>
              <c:strCache>
                <c:ptCount val="1"/>
                <c:pt idx="0">
                  <c:v>昭和26年～45年</c:v>
                </c:pt>
              </c:strCache>
            </c:strRef>
          </c:tx>
          <c:spPr>
            <a:pattFill prst="pct30">
              <a:fgClr>
                <a:schemeClr val="accent5"/>
              </a:fgClr>
              <a:bgClr>
                <a:schemeClr val="bg1"/>
              </a:bgClr>
            </a:pattFill>
            <a:ln w="3175">
              <a:solidFill>
                <a:schemeClr val="tx1"/>
              </a:solidFill>
            </a:ln>
          </c:spPr>
          <c:invertIfNegative val="0"/>
          <c:val>
            <c:numRef>
              <c:f>建築の時期!$B$28</c:f>
              <c:numCache>
                <c:formatCode>General</c:formatCode>
                <c:ptCount val="1"/>
                <c:pt idx="0">
                  <c:v>6.7350944630735254</c:v>
                </c:pt>
              </c:numCache>
            </c:numRef>
          </c:val>
          <c:extLst>
            <c:ext xmlns:c16="http://schemas.microsoft.com/office/drawing/2014/chart" uri="{C3380CC4-5D6E-409C-BE32-E72D297353CC}">
              <c16:uniqueId val="{00000001-0296-4817-8B1E-2AABBFEDE600}"/>
            </c:ext>
          </c:extLst>
        </c:ser>
        <c:ser>
          <c:idx val="2"/>
          <c:order val="2"/>
          <c:tx>
            <c:strRef>
              <c:f>建築の時期!$C$27</c:f>
              <c:strCache>
                <c:ptCount val="1"/>
                <c:pt idx="0">
                  <c:v>昭和46年～55年</c:v>
                </c:pt>
              </c:strCache>
            </c:strRef>
          </c:tx>
          <c:spPr>
            <a:pattFill prst="wdUpDiag">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2-0296-4817-8B1E-2AABBFEDE600}"/>
              </c:ext>
            </c:extLst>
          </c:dPt>
          <c:dLbls>
            <c:dLbl>
              <c:idx val="0"/>
              <c:numFmt formatCode="#,##0.0_);[Red]\(#,##0.0\)" sourceLinked="0"/>
              <c:spPr>
                <a:solidFill>
                  <a:schemeClr val="bg1"/>
                </a:solidFill>
              </c:spPr>
              <c:txPr>
                <a:bodyPr/>
                <a:lstStyle/>
                <a:p>
                  <a:pPr>
                    <a:defRPr sz="800"/>
                  </a:pPr>
                  <a:endParaRPr lang="ja-JP"/>
                </a:p>
              </c:txPr>
              <c:showLegendKey val="0"/>
              <c:showVal val="1"/>
              <c:showCatName val="0"/>
              <c:showSerName val="0"/>
              <c:showPercent val="0"/>
              <c:showBubbleSize val="0"/>
              <c:extLst>
                <c:ext xmlns:c16="http://schemas.microsoft.com/office/drawing/2014/chart" uri="{C3380CC4-5D6E-409C-BE32-E72D297353CC}">
                  <c16:uniqueId val="{00000002-0296-4817-8B1E-2AABBFEDE600}"/>
                </c:ext>
              </c:extLst>
            </c:dLbl>
            <c:numFmt formatCode="#,##0.0_);[Red]\(#,##0.0\)" sourceLinked="0"/>
            <c:spPr>
              <a:noFill/>
              <a:ln>
                <a:noFill/>
              </a:ln>
              <a:effectLst/>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建築の時期!$C$28</c:f>
              <c:numCache>
                <c:formatCode>General</c:formatCode>
                <c:ptCount val="1"/>
                <c:pt idx="0">
                  <c:v>15.226547804040239</c:v>
                </c:pt>
              </c:numCache>
            </c:numRef>
          </c:val>
          <c:extLst>
            <c:ext xmlns:c16="http://schemas.microsoft.com/office/drawing/2014/chart" uri="{C3380CC4-5D6E-409C-BE32-E72D297353CC}">
              <c16:uniqueId val="{00000003-0296-4817-8B1E-2AABBFEDE600}"/>
            </c:ext>
          </c:extLst>
        </c:ser>
        <c:ser>
          <c:idx val="3"/>
          <c:order val="3"/>
          <c:tx>
            <c:strRef>
              <c:f>建築の時期!$D$27</c:f>
              <c:strCache>
                <c:ptCount val="1"/>
                <c:pt idx="0">
                  <c:v>昭和56年～平成2年</c:v>
                </c:pt>
              </c:strCache>
            </c:strRef>
          </c:tx>
          <c:spPr>
            <a:pattFill prst="openDmnd">
              <a:fgClr>
                <a:schemeClr val="accent5"/>
              </a:fgClr>
              <a:bgClr>
                <a:schemeClr val="bg1"/>
              </a:bgClr>
            </a:pattFill>
            <a:ln w="3175">
              <a:solidFill>
                <a:schemeClr val="tx1"/>
              </a:solidFill>
            </a:ln>
          </c:spPr>
          <c:invertIfNegative val="0"/>
          <c:dLbls>
            <c:dLbl>
              <c:idx val="0"/>
              <c:layout>
                <c:manualLayout>
                  <c:x val="6.6141205745500796E-3"/>
                  <c:y val="-9.40512579355744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96-4817-8B1E-2AABBFEDE600}"/>
                </c:ext>
              </c:extLst>
            </c:dLbl>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建築の時期!$D$28</c:f>
              <c:numCache>
                <c:formatCode>General</c:formatCode>
                <c:ptCount val="1"/>
                <c:pt idx="0">
                  <c:v>18.653390038439518</c:v>
                </c:pt>
              </c:numCache>
            </c:numRef>
          </c:val>
          <c:extLst>
            <c:ext xmlns:c16="http://schemas.microsoft.com/office/drawing/2014/chart" uri="{C3380CC4-5D6E-409C-BE32-E72D297353CC}">
              <c16:uniqueId val="{00000005-0296-4817-8B1E-2AABBFEDE600}"/>
            </c:ext>
          </c:extLst>
        </c:ser>
        <c:ser>
          <c:idx val="4"/>
          <c:order val="4"/>
          <c:tx>
            <c:strRef>
              <c:f>建築の時期!$E$27</c:f>
              <c:strCache>
                <c:ptCount val="1"/>
                <c:pt idx="0">
                  <c:v>平成3年～平成7年</c:v>
                </c:pt>
              </c:strCache>
            </c:strRef>
          </c:tx>
          <c:spPr>
            <a:pattFill prst="ltHorz">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建築の時期!$E$28</c:f>
              <c:numCache>
                <c:formatCode>General</c:formatCode>
                <c:ptCount val="1"/>
                <c:pt idx="0">
                  <c:v>10.648564651999672</c:v>
                </c:pt>
              </c:numCache>
            </c:numRef>
          </c:val>
          <c:extLst>
            <c:ext xmlns:c16="http://schemas.microsoft.com/office/drawing/2014/chart" uri="{C3380CC4-5D6E-409C-BE32-E72D297353CC}">
              <c16:uniqueId val="{00000006-0296-4817-8B1E-2AABBFEDE600}"/>
            </c:ext>
          </c:extLst>
        </c:ser>
        <c:ser>
          <c:idx val="5"/>
          <c:order val="5"/>
          <c:tx>
            <c:strRef>
              <c:f>建築の時期!$F$27</c:f>
              <c:strCache>
                <c:ptCount val="1"/>
                <c:pt idx="0">
                  <c:v>平成8年～12年</c:v>
                </c:pt>
              </c:strCache>
            </c:strRef>
          </c:tx>
          <c:spPr>
            <a:pattFill prst="smCheck">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建築の時期!$F$28</c:f>
              <c:numCache>
                <c:formatCode>General</c:formatCode>
                <c:ptCount val="1"/>
                <c:pt idx="0">
                  <c:v>11.400997791772308</c:v>
                </c:pt>
              </c:numCache>
            </c:numRef>
          </c:val>
          <c:extLst>
            <c:ext xmlns:c16="http://schemas.microsoft.com/office/drawing/2014/chart" uri="{C3380CC4-5D6E-409C-BE32-E72D297353CC}">
              <c16:uniqueId val="{00000007-0296-4817-8B1E-2AABBFEDE600}"/>
            </c:ext>
          </c:extLst>
        </c:ser>
        <c:ser>
          <c:idx val="6"/>
          <c:order val="6"/>
          <c:tx>
            <c:strRef>
              <c:f>建築の時期!$G$27</c:f>
              <c:strCache>
                <c:ptCount val="1"/>
                <c:pt idx="0">
                  <c:v>平成13年～17年</c:v>
                </c:pt>
              </c:strCache>
            </c:strRef>
          </c:tx>
          <c:spPr>
            <a:pattFill prst="ltVert">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建築の時期!$G$28</c:f>
              <c:numCache>
                <c:formatCode>General</c:formatCode>
                <c:ptCount val="1"/>
                <c:pt idx="0">
                  <c:v>10.159892042201685</c:v>
                </c:pt>
              </c:numCache>
            </c:numRef>
          </c:val>
          <c:extLst>
            <c:ext xmlns:c16="http://schemas.microsoft.com/office/drawing/2014/chart" uri="{C3380CC4-5D6E-409C-BE32-E72D297353CC}">
              <c16:uniqueId val="{00000008-0296-4817-8B1E-2AABBFEDE600}"/>
            </c:ext>
          </c:extLst>
        </c:ser>
        <c:ser>
          <c:idx val="7"/>
          <c:order val="7"/>
          <c:tx>
            <c:strRef>
              <c:f>建築の時期!$H$27</c:f>
              <c:strCache>
                <c:ptCount val="1"/>
                <c:pt idx="0">
                  <c:v>平成18年～22年</c:v>
                </c:pt>
              </c:strCache>
            </c:strRef>
          </c:tx>
          <c:spPr>
            <a:pattFill prst="ltUpDiag">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9-0296-4817-8B1E-2AABBFEDE600}"/>
              </c:ext>
            </c:extLst>
          </c:dPt>
          <c:dLbls>
            <c:dLbl>
              <c:idx val="0"/>
              <c:numFmt formatCode="#,##0.0_);[Red]\(#,##0.0\)" sourceLinked="0"/>
              <c:spPr>
                <a:solidFill>
                  <a:schemeClr val="bg1"/>
                </a:solidFill>
              </c:spPr>
              <c:txPr>
                <a:bodyPr/>
                <a:lstStyle/>
                <a:p>
                  <a:pPr>
                    <a:defRPr sz="800"/>
                  </a:pPr>
                  <a:endParaRPr lang="ja-JP"/>
                </a:p>
              </c:txPr>
              <c:showLegendKey val="0"/>
              <c:showVal val="1"/>
              <c:showCatName val="0"/>
              <c:showSerName val="0"/>
              <c:showPercent val="0"/>
              <c:showBubbleSize val="0"/>
              <c:extLst>
                <c:ext xmlns:c16="http://schemas.microsoft.com/office/drawing/2014/chart" uri="{C3380CC4-5D6E-409C-BE32-E72D297353CC}">
                  <c16:uniqueId val="{00000009-0296-4817-8B1E-2AABBFEDE600}"/>
                </c:ext>
              </c:extLst>
            </c:dLbl>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建築の時期!$H$28</c:f>
              <c:numCache>
                <c:formatCode>General</c:formatCode>
                <c:ptCount val="1"/>
                <c:pt idx="0">
                  <c:v>10.405250674736239</c:v>
                </c:pt>
              </c:numCache>
            </c:numRef>
          </c:val>
          <c:extLst>
            <c:ext xmlns:c16="http://schemas.microsoft.com/office/drawing/2014/chart" uri="{C3380CC4-5D6E-409C-BE32-E72D297353CC}">
              <c16:uniqueId val="{0000000A-0296-4817-8B1E-2AABBFEDE600}"/>
            </c:ext>
          </c:extLst>
        </c:ser>
        <c:ser>
          <c:idx val="8"/>
          <c:order val="8"/>
          <c:tx>
            <c:strRef>
              <c:f>建築の時期!$I$27</c:f>
              <c:strCache>
                <c:ptCount val="1"/>
                <c:pt idx="0">
                  <c:v>平成23年～27年</c:v>
                </c:pt>
              </c:strCache>
            </c:strRef>
          </c:tx>
          <c:spPr>
            <a:pattFill prst="pct40">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建築の時期!$I$28</c:f>
              <c:numCache>
                <c:formatCode>General</c:formatCode>
                <c:ptCount val="1"/>
                <c:pt idx="0">
                  <c:v>5.8374907990512801</c:v>
                </c:pt>
              </c:numCache>
            </c:numRef>
          </c:val>
          <c:extLst>
            <c:ext xmlns:c16="http://schemas.microsoft.com/office/drawing/2014/chart" uri="{C3380CC4-5D6E-409C-BE32-E72D297353CC}">
              <c16:uniqueId val="{0000000B-0296-4817-8B1E-2AABBFEDE600}"/>
            </c:ext>
          </c:extLst>
        </c:ser>
        <c:ser>
          <c:idx val="9"/>
          <c:order val="9"/>
          <c:tx>
            <c:strRef>
              <c:f>建築の時期!$J$27</c:f>
              <c:strCache>
                <c:ptCount val="1"/>
                <c:pt idx="0">
                  <c:v>平成28年～30年9月</c:v>
                </c:pt>
              </c:strCache>
            </c:strRef>
          </c:tx>
          <c:spPr>
            <a:pattFill prst="solidDmnd">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建築の時期!$J$28</c:f>
              <c:numCache>
                <c:formatCode>General</c:formatCode>
                <c:ptCount val="1"/>
                <c:pt idx="0">
                  <c:v>8.3360595403614965</c:v>
                </c:pt>
              </c:numCache>
            </c:numRef>
          </c:val>
          <c:extLst>
            <c:ext xmlns:c16="http://schemas.microsoft.com/office/drawing/2014/chart" uri="{C3380CC4-5D6E-409C-BE32-E72D297353CC}">
              <c16:uniqueId val="{0000000C-0296-4817-8B1E-2AABBFEDE600}"/>
            </c:ext>
          </c:extLst>
        </c:ser>
        <c:dLbls>
          <c:showLegendKey val="0"/>
          <c:showVal val="0"/>
          <c:showCatName val="0"/>
          <c:showSerName val="0"/>
          <c:showPercent val="0"/>
          <c:showBubbleSize val="0"/>
        </c:dLbls>
        <c:gapWidth val="80"/>
        <c:overlap val="100"/>
        <c:axId val="13830016"/>
        <c:axId val="13831552"/>
      </c:barChart>
      <c:catAx>
        <c:axId val="13830016"/>
        <c:scaling>
          <c:orientation val="minMax"/>
        </c:scaling>
        <c:delete val="1"/>
        <c:axPos val="l"/>
        <c:majorGridlines/>
        <c:numFmt formatCode="General" sourceLinked="1"/>
        <c:majorTickMark val="out"/>
        <c:minorTickMark val="none"/>
        <c:tickLblPos val="nextTo"/>
        <c:crossAx val="13831552"/>
        <c:crosses val="autoZero"/>
        <c:auto val="1"/>
        <c:lblAlgn val="ctr"/>
        <c:lblOffset val="100"/>
        <c:noMultiLvlLbl val="0"/>
      </c:catAx>
      <c:valAx>
        <c:axId val="13831552"/>
        <c:scaling>
          <c:orientation val="minMax"/>
        </c:scaling>
        <c:delete val="0"/>
        <c:axPos val="b"/>
        <c:majorGridlines>
          <c:spPr>
            <a:ln>
              <a:solidFill>
                <a:schemeClr val="tx1"/>
              </a:solidFill>
              <a:prstDash val="sysDash"/>
            </a:ln>
          </c:spPr>
        </c:majorGridlines>
        <c:numFmt formatCode="0%" sourceLinked="1"/>
        <c:majorTickMark val="in"/>
        <c:minorTickMark val="in"/>
        <c:tickLblPos val="nextTo"/>
        <c:spPr>
          <a:ln>
            <a:solidFill>
              <a:schemeClr val="tx1"/>
            </a:solidFill>
            <a:prstDash val="solid"/>
          </a:ln>
        </c:spPr>
        <c:txPr>
          <a:bodyPr/>
          <a:lstStyle/>
          <a:p>
            <a:pPr algn="ctr" rtl="0">
              <a:defRPr sz="900"/>
            </a:pPr>
            <a:endParaRPr lang="ja-JP"/>
          </a:p>
        </c:txPr>
        <c:crossAx val="13830016"/>
        <c:crosses val="autoZero"/>
        <c:crossBetween val="between"/>
        <c:majorUnit val="0.2"/>
        <c:minorUnit val="0.2"/>
      </c:valAx>
      <c:spPr>
        <a:ln>
          <a:solidFill>
            <a:schemeClr val="tx1"/>
          </a:solidFill>
        </a:ln>
      </c:spPr>
    </c:plotArea>
    <c:legend>
      <c:legendPos val="b"/>
      <c:layout>
        <c:manualLayout>
          <c:xMode val="edge"/>
          <c:yMode val="edge"/>
          <c:x val="5.9063867016622924E-2"/>
          <c:y val="0.78064358461188121"/>
          <c:w val="0.8707611548556432"/>
          <c:h val="0.1597802755394736"/>
        </c:manualLayout>
      </c:layout>
      <c:overlay val="0"/>
      <c:spPr>
        <a:ln>
          <a:noFill/>
        </a:ln>
      </c:spPr>
      <c:txPr>
        <a:bodyPr/>
        <a:lstStyle/>
        <a:p>
          <a:pPr algn="l" rtl="0">
            <a:defRPr sz="800"/>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図７－１　住宅の所有の関係別割合</a:t>
            </a:r>
            <a:endParaRPr lang="en-US" sz="800"/>
          </a:p>
          <a:p>
            <a:pPr algn="ctr" rtl="0">
              <a:defRPr sz="800"/>
            </a:pPr>
            <a:r>
              <a:rPr lang="ja-JP" sz="800"/>
              <a:t>　　　－秋田県（平成</a:t>
            </a:r>
            <a:r>
              <a:rPr lang="en-US" sz="800"/>
              <a:t>30</a:t>
            </a:r>
            <a:r>
              <a:rPr lang="ja-JP" sz="800"/>
              <a:t>年）</a:t>
            </a:r>
          </a:p>
        </c:rich>
      </c:tx>
      <c:overlay val="0"/>
    </c:title>
    <c:autoTitleDeleted val="0"/>
    <c:view3D>
      <c:rotX val="50"/>
      <c:rotY val="0"/>
      <c:depthPercent val="100"/>
      <c:rAngAx val="0"/>
      <c:perspective val="0"/>
    </c:view3D>
    <c:floor>
      <c:thickness val="0"/>
    </c:floor>
    <c:sideWall>
      <c:thickness val="0"/>
    </c:sideWall>
    <c:backWall>
      <c:thickness val="0"/>
    </c:backWall>
    <c:plotArea>
      <c:layout>
        <c:manualLayout>
          <c:layoutTarget val="inner"/>
          <c:xMode val="edge"/>
          <c:yMode val="edge"/>
          <c:x val="7.1896720914345347E-2"/>
          <c:y val="0.31130566584491809"/>
          <c:w val="0.89219125632886109"/>
          <c:h val="0.66362599277641243"/>
        </c:manualLayout>
      </c:layout>
      <c:pie3DChart>
        <c:varyColors val="1"/>
        <c:ser>
          <c:idx val="0"/>
          <c:order val="0"/>
          <c:tx>
            <c:strRef>
              <c:f>'所有、建て方'!$A$31</c:f>
              <c:strCache>
                <c:ptCount val="1"/>
                <c:pt idx="0">
                  <c:v>30年</c:v>
                </c:pt>
              </c:strCache>
            </c:strRef>
          </c:tx>
          <c:explosion val="15"/>
          <c:dPt>
            <c:idx val="0"/>
            <c:bubble3D val="0"/>
            <c:spPr>
              <a:pattFill prst="pct20">
                <a:fgClr>
                  <a:schemeClr val="accent5"/>
                </a:fgClr>
                <a:bgClr>
                  <a:schemeClr val="bg1"/>
                </a:bgClr>
              </a:pattFill>
              <a:ln w="3175">
                <a:solidFill>
                  <a:schemeClr val="tx1"/>
                </a:solidFill>
              </a:ln>
            </c:spPr>
            <c:extLst>
              <c:ext xmlns:c16="http://schemas.microsoft.com/office/drawing/2014/chart" uri="{C3380CC4-5D6E-409C-BE32-E72D297353CC}">
                <c16:uniqueId val="{00000001-B101-4B69-B75A-769A1B51168B}"/>
              </c:ext>
            </c:extLst>
          </c:dPt>
          <c:dPt>
            <c:idx val="1"/>
            <c:bubble3D val="0"/>
            <c:spPr>
              <a:pattFill prst="openDmnd">
                <a:fgClr>
                  <a:schemeClr val="accent5"/>
                </a:fgClr>
                <a:bgClr>
                  <a:schemeClr val="bg1"/>
                </a:bgClr>
              </a:pattFill>
              <a:ln w="3175">
                <a:solidFill>
                  <a:schemeClr val="tx1"/>
                </a:solidFill>
              </a:ln>
            </c:spPr>
            <c:extLst>
              <c:ext xmlns:c16="http://schemas.microsoft.com/office/drawing/2014/chart" uri="{C3380CC4-5D6E-409C-BE32-E72D297353CC}">
                <c16:uniqueId val="{00000003-B101-4B69-B75A-769A1B51168B}"/>
              </c:ext>
            </c:extLst>
          </c:dPt>
          <c:dPt>
            <c:idx val="2"/>
            <c:bubble3D val="0"/>
            <c:spPr>
              <a:pattFill prst="sphere">
                <a:fgClr>
                  <a:schemeClr val="accent5"/>
                </a:fgClr>
                <a:bgClr>
                  <a:schemeClr val="bg1"/>
                </a:bgClr>
              </a:pattFill>
            </c:spPr>
            <c:extLst>
              <c:ext xmlns:c16="http://schemas.microsoft.com/office/drawing/2014/chart" uri="{C3380CC4-5D6E-409C-BE32-E72D297353CC}">
                <c16:uniqueId val="{00000005-B101-4B69-B75A-769A1B51168B}"/>
              </c:ext>
            </c:extLst>
          </c:dPt>
          <c:dPt>
            <c:idx val="3"/>
            <c:bubble3D val="0"/>
            <c:spPr>
              <a:pattFill prst="dkUpDiag">
                <a:fgClr>
                  <a:schemeClr val="accent5"/>
                </a:fgClr>
                <a:bgClr>
                  <a:schemeClr val="bg1"/>
                </a:bgClr>
              </a:pattFill>
              <a:ln w="3175">
                <a:solidFill>
                  <a:schemeClr val="tx1"/>
                </a:solidFill>
              </a:ln>
            </c:spPr>
            <c:extLst>
              <c:ext xmlns:c16="http://schemas.microsoft.com/office/drawing/2014/chart" uri="{C3380CC4-5D6E-409C-BE32-E72D297353CC}">
                <c16:uniqueId val="{00000007-B101-4B69-B75A-769A1B51168B}"/>
              </c:ext>
            </c:extLst>
          </c:dPt>
          <c:dPt>
            <c:idx val="4"/>
            <c:bubble3D val="0"/>
            <c:spPr>
              <a:pattFill prst="lgCheck">
                <a:fgClr>
                  <a:schemeClr val="accent1"/>
                </a:fgClr>
                <a:bgClr>
                  <a:schemeClr val="bg1"/>
                </a:bgClr>
              </a:pattFill>
              <a:ln w="3175">
                <a:solidFill>
                  <a:schemeClr val="tx1"/>
                </a:solidFill>
              </a:ln>
            </c:spPr>
            <c:extLst>
              <c:ext xmlns:c16="http://schemas.microsoft.com/office/drawing/2014/chart" uri="{C3380CC4-5D6E-409C-BE32-E72D297353CC}">
                <c16:uniqueId val="{00000009-B101-4B69-B75A-769A1B51168B}"/>
              </c:ext>
            </c:extLst>
          </c:dPt>
          <c:dLbls>
            <c:dLbl>
              <c:idx val="0"/>
              <c:layout>
                <c:manualLayout>
                  <c:x val="-0.22312998162818937"/>
                  <c:y val="-0.20954451411337724"/>
                </c:manualLayout>
              </c:layout>
              <c:numFmt formatCode="#,##0.0_);[Red]\(#,##0.0\)" sourceLinked="0"/>
              <c:spPr>
                <a:solidFill>
                  <a:schemeClr val="bg1"/>
                </a:solidFill>
              </c:spPr>
              <c:txPr>
                <a:bodyPr/>
                <a:lstStyle/>
                <a:p>
                  <a:pPr>
                    <a:defRPr sz="800"/>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B101-4B69-B75A-769A1B51168B}"/>
                </c:ext>
              </c:extLst>
            </c:dLbl>
            <c:dLbl>
              <c:idx val="1"/>
              <c:layout>
                <c:manualLayout>
                  <c:x val="9.7934106905931892E-4"/>
                  <c:y val="-9.0113089123966261E-2"/>
                </c:manualLayout>
              </c:layout>
              <c:numFmt formatCode="#,##0.0_);[Red]\(#,##0.0\)" sourceLinked="0"/>
              <c:spPr/>
              <c:txPr>
                <a:bodyPr/>
                <a:lstStyle/>
                <a:p>
                  <a:pPr>
                    <a:defRPr sz="700"/>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23043032159918714"/>
                      <c:h val="0.11672682350234485"/>
                    </c:manualLayout>
                  </c15:layout>
                </c:ext>
                <c:ext xmlns:c16="http://schemas.microsoft.com/office/drawing/2014/chart" uri="{C3380CC4-5D6E-409C-BE32-E72D297353CC}">
                  <c16:uniqueId val="{00000003-B101-4B69-B75A-769A1B51168B}"/>
                </c:ext>
              </c:extLst>
            </c:dLbl>
            <c:dLbl>
              <c:idx val="2"/>
              <c:layout>
                <c:manualLayout>
                  <c:x val="-6.1284383223326556E-2"/>
                  <c:y val="-7.7476659729417266E-2"/>
                </c:manualLayout>
              </c:layout>
              <c:numFmt formatCode="#,##0.0_);[Red]\(#,##0.0\)" sourceLinked="0"/>
              <c:spPr/>
              <c:txPr>
                <a:bodyPr/>
                <a:lstStyle/>
                <a:p>
                  <a:pPr>
                    <a:defRPr sz="800"/>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B101-4B69-B75A-769A1B51168B}"/>
                </c:ext>
              </c:extLst>
            </c:dLbl>
            <c:dLbl>
              <c:idx val="3"/>
              <c:layout>
                <c:manualLayout>
                  <c:x val="-7.5799083123520211E-2"/>
                  <c:y val="-5.2843032866288935E-2"/>
                </c:manualLayout>
              </c:layout>
              <c:numFmt formatCode="#,##0.0_);[Red]\(#,##0.0\)" sourceLinked="0"/>
              <c:spPr>
                <a:solidFill>
                  <a:schemeClr val="bg1"/>
                </a:solidFill>
              </c:spPr>
              <c:txPr>
                <a:bodyPr/>
                <a:lstStyle/>
                <a:p>
                  <a:pPr>
                    <a:defRPr sz="800"/>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B101-4B69-B75A-769A1B51168B}"/>
                </c:ext>
              </c:extLst>
            </c:dLbl>
            <c:dLbl>
              <c:idx val="4"/>
              <c:layout>
                <c:manualLayout>
                  <c:x val="0.17081465103460589"/>
                  <c:y val="-2.7086618689490118E-2"/>
                </c:manualLayout>
              </c:layout>
              <c:numFmt formatCode="#,##0.0_);[Red]\(#,##0.0\)" sourceLinked="0"/>
              <c:spPr/>
              <c:txPr>
                <a:bodyPr/>
                <a:lstStyle/>
                <a:p>
                  <a:pPr>
                    <a:defRPr sz="800"/>
                  </a:pPr>
                  <a:endParaRPr lang="ja-JP"/>
                </a:p>
              </c:txPr>
              <c:showLegendKey val="0"/>
              <c:showVal val="0"/>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B101-4B69-B75A-769A1B51168B}"/>
                </c:ext>
              </c:extLst>
            </c:dLbl>
            <c:numFmt formatCode="#,##0.0_);[Red]\(#,##0.0\)" sourceLinked="0"/>
            <c:spPr>
              <a:noFill/>
              <a:ln>
                <a:noFill/>
              </a:ln>
              <a:effectLst/>
            </c:spPr>
            <c:txPr>
              <a:bodyPr rot="0"/>
              <a:lstStyle/>
              <a:p>
                <a:pPr algn="ctr" rtl="0">
                  <a:defRPr sz="800"/>
                </a:pPr>
                <a:endParaRPr lang="ja-JP"/>
              </a:p>
            </c:tx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'所有、建て方'!$B$30:$E$30</c:f>
              <c:strCache>
                <c:ptCount val="4"/>
                <c:pt idx="0">
                  <c:v>持ち家</c:v>
                </c:pt>
                <c:pt idx="1">
                  <c:v>公営の借家</c:v>
                </c:pt>
                <c:pt idx="2">
                  <c:v>民営借家</c:v>
                </c:pt>
                <c:pt idx="3">
                  <c:v>給与住宅</c:v>
                </c:pt>
              </c:strCache>
            </c:strRef>
          </c:cat>
          <c:val>
            <c:numRef>
              <c:f>'所有、建て方'!$B$31:$E$31</c:f>
              <c:numCache>
                <c:formatCode>0.0</c:formatCode>
                <c:ptCount val="4"/>
                <c:pt idx="0">
                  <c:v>77.3</c:v>
                </c:pt>
                <c:pt idx="1">
                  <c:v>3.2</c:v>
                </c:pt>
                <c:pt idx="2">
                  <c:v>16.600000000000001</c:v>
                </c:pt>
                <c:pt idx="3" formatCode="0.0_ ">
                  <c:v>1.8</c:v>
                </c:pt>
              </c:numCache>
            </c:numRef>
          </c:val>
          <c:extLst>
            <c:ext xmlns:c16="http://schemas.microsoft.com/office/drawing/2014/chart" uri="{C3380CC4-5D6E-409C-BE32-E72D297353CC}">
              <c16:uniqueId val="{0000000A-B101-4B69-B75A-769A1B51168B}"/>
            </c:ext>
          </c:extLst>
        </c:ser>
        <c:dLbls>
          <c:showLegendKey val="0"/>
          <c:showVal val="0"/>
          <c:showCatName val="0"/>
          <c:showSerName val="0"/>
          <c:showPercent val="0"/>
          <c:showBubbleSize val="0"/>
          <c:showLeaderLines val="1"/>
        </c:dLbls>
      </c:pie3DChart>
    </c:plotArea>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図７－２　住宅の建て方別にみた持ち家の割合－秋田県（平成</a:t>
            </a:r>
            <a:r>
              <a:rPr lang="en-US" sz="800"/>
              <a:t>30</a:t>
            </a:r>
            <a:r>
              <a:rPr lang="ja-JP" sz="800"/>
              <a:t>年）</a:t>
            </a:r>
          </a:p>
        </c:rich>
      </c:tx>
      <c:layout>
        <c:manualLayout>
          <c:xMode val="edge"/>
          <c:yMode val="edge"/>
          <c:x val="0.10272340425531915"/>
          <c:y val="2.5088856366297305E-2"/>
        </c:manualLayout>
      </c:layout>
      <c:overlay val="0"/>
    </c:title>
    <c:autoTitleDeleted val="0"/>
    <c:plotArea>
      <c:layout>
        <c:manualLayout>
          <c:layoutTarget val="inner"/>
          <c:xMode val="edge"/>
          <c:yMode val="edge"/>
          <c:x val="0.12364310677861982"/>
          <c:y val="0.2180672207640712"/>
          <c:w val="0.84305509766579922"/>
          <c:h val="0.69352927050601987"/>
        </c:manualLayout>
      </c:layout>
      <c:barChart>
        <c:barDir val="col"/>
        <c:grouping val="clustered"/>
        <c:varyColors val="0"/>
        <c:ser>
          <c:idx val="0"/>
          <c:order val="0"/>
          <c:tx>
            <c:strRef>
              <c:f>'所有、建て方'!$H$33</c:f>
              <c:strCache>
                <c:ptCount val="1"/>
                <c:pt idx="0">
                  <c:v>平成30年</c:v>
                </c:pt>
              </c:strCache>
            </c:strRef>
          </c:tx>
          <c:spPr>
            <a:pattFill prst="pct25">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'所有、建て方'!$I$32:$K$32</c:f>
              <c:strCache>
                <c:ptCount val="3"/>
                <c:pt idx="0">
                  <c:v>一戸建</c:v>
                </c:pt>
                <c:pt idx="1">
                  <c:v>長屋建</c:v>
                </c:pt>
                <c:pt idx="2">
                  <c:v>共同住宅</c:v>
                </c:pt>
              </c:strCache>
            </c:strRef>
          </c:cat>
          <c:val>
            <c:numRef>
              <c:f>'所有、建て方'!$I$33:$K$33</c:f>
              <c:numCache>
                <c:formatCode>General</c:formatCode>
                <c:ptCount val="3"/>
                <c:pt idx="0">
                  <c:v>94.774657086871329</c:v>
                </c:pt>
                <c:pt idx="1">
                  <c:v>5.7471264367816088</c:v>
                </c:pt>
                <c:pt idx="2">
                  <c:v>7.9178885630498534</c:v>
                </c:pt>
              </c:numCache>
            </c:numRef>
          </c:val>
          <c:extLst>
            <c:ext xmlns:c16="http://schemas.microsoft.com/office/drawing/2014/chart" uri="{C3380CC4-5D6E-409C-BE32-E72D297353CC}">
              <c16:uniqueId val="{00000000-F241-42E9-B0B0-E602D06BB15C}"/>
            </c:ext>
          </c:extLst>
        </c:ser>
        <c:dLbls>
          <c:showLegendKey val="0"/>
          <c:showVal val="0"/>
          <c:showCatName val="0"/>
          <c:showSerName val="0"/>
          <c:showPercent val="0"/>
          <c:showBubbleSize val="0"/>
        </c:dLbls>
        <c:gapWidth val="150"/>
        <c:axId val="13918592"/>
        <c:axId val="13920128"/>
      </c:barChart>
      <c:catAx>
        <c:axId val="13918592"/>
        <c:scaling>
          <c:orientation val="minMax"/>
        </c:scaling>
        <c:delete val="0"/>
        <c:axPos val="b"/>
        <c:numFmt formatCode="General" sourceLinked="1"/>
        <c:majorTickMark val="in"/>
        <c:minorTickMark val="none"/>
        <c:tickLblPos val="nextTo"/>
        <c:spPr>
          <a:ln>
            <a:solidFill>
              <a:schemeClr val="tx1"/>
            </a:solidFill>
          </a:ln>
        </c:spPr>
        <c:txPr>
          <a:bodyPr/>
          <a:lstStyle/>
          <a:p>
            <a:pPr algn="ctr" rtl="0">
              <a:defRPr sz="800"/>
            </a:pPr>
            <a:endParaRPr lang="ja-JP"/>
          </a:p>
        </c:txPr>
        <c:crossAx val="13920128"/>
        <c:crosses val="autoZero"/>
        <c:auto val="1"/>
        <c:lblAlgn val="ctr"/>
        <c:lblOffset val="100"/>
        <c:noMultiLvlLbl val="0"/>
      </c:catAx>
      <c:valAx>
        <c:axId val="13920128"/>
        <c:scaling>
          <c:orientation val="minMax"/>
        </c:scaling>
        <c:delete val="0"/>
        <c:axPos val="l"/>
        <c:majorGridlines>
          <c:spPr>
            <a:ln>
              <a:solidFill>
                <a:schemeClr val="tx1"/>
              </a:solidFill>
            </a:ln>
          </c:spPr>
        </c:majorGridlines>
        <c:numFmt formatCode="#,##0.0_);[Red]\(#,##0.0\)" sourceLinked="0"/>
        <c:majorTickMark val="in"/>
        <c:minorTickMark val="in"/>
        <c:tickLblPos val="nextTo"/>
        <c:spPr>
          <a:ln>
            <a:solidFill>
              <a:schemeClr val="tx1"/>
            </a:solidFill>
          </a:ln>
        </c:spPr>
        <c:txPr>
          <a:bodyPr/>
          <a:lstStyle/>
          <a:p>
            <a:pPr algn="ctr" rtl="0">
              <a:defRPr sz="800"/>
            </a:pPr>
            <a:endParaRPr lang="ja-JP"/>
          </a:p>
        </c:txPr>
        <c:crossAx val="13918592"/>
        <c:crosses val="autoZero"/>
        <c:crossBetween val="between"/>
        <c:majorUnit val="20"/>
        <c:minorUnit val="10"/>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図７－３　都道府県別持ち家住宅率（平成</a:t>
            </a:r>
            <a:r>
              <a:rPr lang="en-US" sz="800"/>
              <a:t>30</a:t>
            </a:r>
            <a:r>
              <a:rPr lang="ja-JP" sz="800"/>
              <a:t>年）</a:t>
            </a:r>
          </a:p>
        </c:rich>
      </c:tx>
      <c:layout>
        <c:manualLayout>
          <c:xMode val="edge"/>
          <c:yMode val="edge"/>
          <c:x val="0.32021322293421772"/>
          <c:y val="1.4470516977233049E-2"/>
        </c:manualLayout>
      </c:layout>
      <c:overlay val="0"/>
    </c:title>
    <c:autoTitleDeleted val="0"/>
    <c:plotArea>
      <c:layout>
        <c:manualLayout>
          <c:layoutTarget val="inner"/>
          <c:xMode val="edge"/>
          <c:yMode val="edge"/>
          <c:x val="5.4742701810188414E-2"/>
          <c:y val="8.9963587130794165E-2"/>
          <c:w val="0.89288962233014291"/>
          <c:h val="0.69650295658567962"/>
        </c:manualLayout>
      </c:layout>
      <c:barChart>
        <c:barDir val="col"/>
        <c:grouping val="clustered"/>
        <c:varyColors val="0"/>
        <c:ser>
          <c:idx val="0"/>
          <c:order val="0"/>
          <c:spPr>
            <a:solidFill>
              <a:schemeClr val="accent5"/>
            </a:solidFill>
            <a:ln>
              <a:noFill/>
            </a:ln>
          </c:spPr>
          <c:invertIfNegative val="0"/>
          <c:dPt>
            <c:idx val="0"/>
            <c:invertIfNegative val="0"/>
            <c:bubble3D val="0"/>
            <c:spPr>
              <a:pattFill prst="ltUpDiag">
                <a:fgClr>
                  <a:schemeClr val="accent5"/>
                </a:fgClr>
                <a:bgClr>
                  <a:schemeClr val="bg1"/>
                </a:bgClr>
              </a:pattFill>
              <a:ln>
                <a:solidFill>
                  <a:schemeClr val="tx1"/>
                </a:solidFill>
              </a:ln>
            </c:spPr>
            <c:extLst>
              <c:ext xmlns:c16="http://schemas.microsoft.com/office/drawing/2014/chart" uri="{C3380CC4-5D6E-409C-BE32-E72D297353CC}">
                <c16:uniqueId val="{00000001-AEC3-4CA2-83D1-078F4401A113}"/>
              </c:ext>
            </c:extLst>
          </c:dPt>
          <c:dPt>
            <c:idx val="1"/>
            <c:invertIfNegative val="0"/>
            <c:bubble3D val="0"/>
            <c:spPr>
              <a:solidFill>
                <a:schemeClr val="accent5"/>
              </a:solidFill>
              <a:ln w="3175">
                <a:noFill/>
              </a:ln>
            </c:spPr>
            <c:extLst>
              <c:ext xmlns:c16="http://schemas.microsoft.com/office/drawing/2014/chart" uri="{C3380CC4-5D6E-409C-BE32-E72D297353CC}">
                <c16:uniqueId val="{00000003-AEC3-4CA2-83D1-078F4401A113}"/>
              </c:ext>
            </c:extLst>
          </c:dPt>
          <c:dPt>
            <c:idx val="8"/>
            <c:invertIfNegative val="0"/>
            <c:bubble3D val="0"/>
            <c:spPr>
              <a:solidFill>
                <a:schemeClr val="accent5"/>
              </a:solidFill>
              <a:ln w="3175">
                <a:noFill/>
              </a:ln>
            </c:spPr>
            <c:extLst>
              <c:ext xmlns:c16="http://schemas.microsoft.com/office/drawing/2014/chart" uri="{C3380CC4-5D6E-409C-BE32-E72D297353CC}">
                <c16:uniqueId val="{00000005-AEC3-4CA2-83D1-078F4401A113}"/>
              </c:ext>
            </c:extLst>
          </c:dPt>
          <c:dPt>
            <c:idx val="12"/>
            <c:invertIfNegative val="0"/>
            <c:bubble3D val="0"/>
            <c:spPr>
              <a:solidFill>
                <a:schemeClr val="accent5"/>
              </a:solidFill>
              <a:ln w="3175">
                <a:noFill/>
              </a:ln>
            </c:spPr>
            <c:extLst>
              <c:ext xmlns:c16="http://schemas.microsoft.com/office/drawing/2014/chart" uri="{C3380CC4-5D6E-409C-BE32-E72D297353CC}">
                <c16:uniqueId val="{00000007-AEC3-4CA2-83D1-078F4401A113}"/>
              </c:ext>
            </c:extLst>
          </c:dPt>
          <c:dPt>
            <c:idx val="31"/>
            <c:invertIfNegative val="0"/>
            <c:bubble3D val="0"/>
            <c:spPr>
              <a:solidFill>
                <a:schemeClr val="accent5"/>
              </a:solidFill>
              <a:ln w="3175">
                <a:noFill/>
              </a:ln>
            </c:spPr>
            <c:extLst>
              <c:ext xmlns:c16="http://schemas.microsoft.com/office/drawing/2014/chart" uri="{C3380CC4-5D6E-409C-BE32-E72D297353CC}">
                <c16:uniqueId val="{00000009-AEC3-4CA2-83D1-078F4401A113}"/>
              </c:ext>
            </c:extLst>
          </c:dPt>
          <c:dPt>
            <c:idx val="35"/>
            <c:invertIfNegative val="0"/>
            <c:bubble3D val="0"/>
            <c:spPr>
              <a:solidFill>
                <a:schemeClr val="accent5"/>
              </a:solidFill>
              <a:ln w="3175">
                <a:noFill/>
              </a:ln>
            </c:spPr>
            <c:extLst>
              <c:ext xmlns:c16="http://schemas.microsoft.com/office/drawing/2014/chart" uri="{C3380CC4-5D6E-409C-BE32-E72D297353CC}">
                <c16:uniqueId val="{0000000B-AEC3-4CA2-83D1-078F4401A113}"/>
              </c:ext>
            </c:extLst>
          </c:dPt>
          <c:dPt>
            <c:idx val="37"/>
            <c:invertIfNegative val="0"/>
            <c:bubble3D val="0"/>
            <c:spPr>
              <a:solidFill>
                <a:schemeClr val="accent5"/>
              </a:solidFill>
              <a:ln w="3175">
                <a:noFill/>
              </a:ln>
            </c:spPr>
            <c:extLst>
              <c:ext xmlns:c16="http://schemas.microsoft.com/office/drawing/2014/chart" uri="{C3380CC4-5D6E-409C-BE32-E72D297353CC}">
                <c16:uniqueId val="{0000000D-AEC3-4CA2-83D1-078F4401A113}"/>
              </c:ext>
            </c:extLst>
          </c:dPt>
          <c:dPt>
            <c:idx val="38"/>
            <c:invertIfNegative val="0"/>
            <c:bubble3D val="0"/>
            <c:spPr>
              <a:solidFill>
                <a:schemeClr val="accent5"/>
              </a:solidFill>
              <a:ln w="3175">
                <a:noFill/>
              </a:ln>
            </c:spPr>
            <c:extLst>
              <c:ext xmlns:c16="http://schemas.microsoft.com/office/drawing/2014/chart" uri="{C3380CC4-5D6E-409C-BE32-E72D297353CC}">
                <c16:uniqueId val="{0000000F-AEC3-4CA2-83D1-078F4401A113}"/>
              </c:ext>
            </c:extLst>
          </c:dPt>
          <c:dPt>
            <c:idx val="39"/>
            <c:invertIfNegative val="0"/>
            <c:bubble3D val="0"/>
            <c:spPr>
              <a:pattFill prst="pct20">
                <a:fgClr>
                  <a:schemeClr val="accent5"/>
                </a:fgClr>
                <a:bgClr>
                  <a:schemeClr val="bg1"/>
                </a:bgClr>
              </a:pattFill>
              <a:ln w="9525">
                <a:solidFill>
                  <a:schemeClr val="tx1"/>
                </a:solidFill>
              </a:ln>
            </c:spPr>
            <c:extLst>
              <c:ext xmlns:c16="http://schemas.microsoft.com/office/drawing/2014/chart" uri="{C3380CC4-5D6E-409C-BE32-E72D297353CC}">
                <c16:uniqueId val="{00000011-AEC3-4CA2-83D1-078F4401A113}"/>
              </c:ext>
            </c:extLst>
          </c:dPt>
          <c:dPt>
            <c:idx val="47"/>
            <c:invertIfNegative val="0"/>
            <c:bubble3D val="0"/>
            <c:spPr>
              <a:solidFill>
                <a:schemeClr val="accent5"/>
              </a:solidFill>
              <a:ln w="3175">
                <a:noFill/>
              </a:ln>
            </c:spPr>
            <c:extLst>
              <c:ext xmlns:c16="http://schemas.microsoft.com/office/drawing/2014/chart" uri="{C3380CC4-5D6E-409C-BE32-E72D297353CC}">
                <c16:uniqueId val="{00000013-AEC3-4CA2-83D1-078F4401A113}"/>
              </c:ext>
            </c:extLst>
          </c:dPt>
          <c:dLbls>
            <c:dLbl>
              <c:idx val="0"/>
              <c:layout>
                <c:manualLayout>
                  <c:x val="1.7297297297297298E-2"/>
                  <c:y val="-1.4479638009049774E-2"/>
                </c:manualLayout>
              </c:layout>
              <c:spPr>
                <a:solidFill>
                  <a:schemeClr val="bg1"/>
                </a:solidFill>
                <a:ln>
                  <a:noFill/>
                </a:ln>
              </c:spPr>
              <c:txPr>
                <a:bodyPr/>
                <a:lstStyle/>
                <a:p>
                  <a:pPr>
                    <a:defRPr sz="8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C3-4CA2-83D1-078F4401A113}"/>
                </c:ext>
              </c:extLst>
            </c:dLbl>
            <c:dLbl>
              <c:idx val="1"/>
              <c:spPr>
                <a:solidFill>
                  <a:schemeClr val="bg1"/>
                </a:solidFill>
              </c:spPr>
              <c:txPr>
                <a:bodyPr/>
                <a:lstStyle/>
                <a:p>
                  <a:pPr>
                    <a:defRPr sz="800"/>
                  </a:pPr>
                  <a:endParaRPr lang="ja-JP"/>
                </a:p>
              </c:txPr>
              <c:showLegendKey val="0"/>
              <c:showVal val="0"/>
              <c:showCatName val="0"/>
              <c:showSerName val="0"/>
              <c:showPercent val="0"/>
              <c:showBubbleSize val="0"/>
              <c:extLst>
                <c:ext xmlns:c16="http://schemas.microsoft.com/office/drawing/2014/chart" uri="{C3380CC4-5D6E-409C-BE32-E72D297353CC}">
                  <c16:uniqueId val="{00000003-AEC3-4CA2-83D1-078F4401A113}"/>
                </c:ext>
              </c:extLst>
            </c:dLbl>
            <c:dLbl>
              <c:idx val="38"/>
              <c:spPr>
                <a:solidFill>
                  <a:schemeClr val="bg1"/>
                </a:solidFill>
              </c:spPr>
              <c:txPr>
                <a:bodyPr/>
                <a:lstStyle/>
                <a:p>
                  <a:pPr>
                    <a:defRPr sz="800"/>
                  </a:pPr>
                  <a:endParaRPr lang="ja-JP"/>
                </a:p>
              </c:txPr>
              <c:showLegendKey val="0"/>
              <c:showVal val="0"/>
              <c:showCatName val="0"/>
              <c:showSerName val="0"/>
              <c:showPercent val="0"/>
              <c:showBubbleSize val="0"/>
              <c:extLst>
                <c:ext xmlns:c16="http://schemas.microsoft.com/office/drawing/2014/chart" uri="{C3380CC4-5D6E-409C-BE32-E72D297353CC}">
                  <c16:uniqueId val="{0000000F-AEC3-4CA2-83D1-078F4401A113}"/>
                </c:ext>
              </c:extLst>
            </c:dLbl>
            <c:dLbl>
              <c:idx val="3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EC3-4CA2-83D1-078F4401A113}"/>
                </c:ext>
              </c:extLst>
            </c:dLbl>
            <c:spPr>
              <a:noFill/>
              <a:ln>
                <a:noFill/>
              </a:ln>
              <a:effectLst/>
            </c:spPr>
            <c:txPr>
              <a:bodyPr/>
              <a:lstStyle/>
              <a:p>
                <a:pPr>
                  <a:defRPr sz="800"/>
                </a:pPr>
                <a:endParaRPr lang="ja-JP"/>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'所有、建て方'!$B$50:$B$97</c:f>
              <c:strCache>
                <c:ptCount val="48"/>
                <c:pt idx="0">
                  <c:v>秋田県</c:v>
                </c:pt>
                <c:pt idx="1">
                  <c:v>富山県</c:v>
                </c:pt>
                <c:pt idx="2">
                  <c:v>山形県</c:v>
                </c:pt>
                <c:pt idx="3">
                  <c:v>福井県</c:v>
                </c:pt>
                <c:pt idx="4">
                  <c:v>岐阜県</c:v>
                </c:pt>
                <c:pt idx="5">
                  <c:v>奈良県</c:v>
                </c:pt>
                <c:pt idx="6">
                  <c:v>新潟県</c:v>
                </c:pt>
                <c:pt idx="7">
                  <c:v>和歌山県</c:v>
                </c:pt>
                <c:pt idx="8">
                  <c:v>三重県</c:v>
                </c:pt>
                <c:pt idx="9">
                  <c:v>滋賀県</c:v>
                </c:pt>
                <c:pt idx="10">
                  <c:v>群馬県</c:v>
                </c:pt>
                <c:pt idx="11">
                  <c:v>茨城県</c:v>
                </c:pt>
                <c:pt idx="12">
                  <c:v>長野県</c:v>
                </c:pt>
                <c:pt idx="13">
                  <c:v>青森県</c:v>
                </c:pt>
                <c:pt idx="14">
                  <c:v>山梨県</c:v>
                </c:pt>
                <c:pt idx="15">
                  <c:v>島根県</c:v>
                </c:pt>
                <c:pt idx="16">
                  <c:v>岩手県</c:v>
                </c:pt>
                <c:pt idx="17">
                  <c:v>石川県</c:v>
                </c:pt>
                <c:pt idx="18">
                  <c:v>香川県</c:v>
                </c:pt>
                <c:pt idx="19">
                  <c:v>徳島県</c:v>
                </c:pt>
                <c:pt idx="20">
                  <c:v>栃木県</c:v>
                </c:pt>
                <c:pt idx="21">
                  <c:v>鳥取県</c:v>
                </c:pt>
                <c:pt idx="22">
                  <c:v>福島県</c:v>
                </c:pt>
                <c:pt idx="23">
                  <c:v>山口県</c:v>
                </c:pt>
                <c:pt idx="24">
                  <c:v>静岡県</c:v>
                </c:pt>
                <c:pt idx="25">
                  <c:v>佐賀県</c:v>
                </c:pt>
                <c:pt idx="26">
                  <c:v>愛媛県</c:v>
                </c:pt>
                <c:pt idx="27">
                  <c:v>埼玉県</c:v>
                </c:pt>
                <c:pt idx="28">
                  <c:v>宮崎県</c:v>
                </c:pt>
                <c:pt idx="29">
                  <c:v>千葉県</c:v>
                </c:pt>
                <c:pt idx="30">
                  <c:v>岡山県</c:v>
                </c:pt>
                <c:pt idx="31">
                  <c:v>高知県</c:v>
                </c:pt>
                <c:pt idx="32">
                  <c:v>兵庫県</c:v>
                </c:pt>
                <c:pt idx="33">
                  <c:v>鹿児島県</c:v>
                </c:pt>
                <c:pt idx="34">
                  <c:v>長崎県</c:v>
                </c:pt>
                <c:pt idx="35">
                  <c:v>大分県</c:v>
                </c:pt>
                <c:pt idx="36">
                  <c:v>熊本県</c:v>
                </c:pt>
                <c:pt idx="37">
                  <c:v>広島県</c:v>
                </c:pt>
                <c:pt idx="38">
                  <c:v>京都府</c:v>
                </c:pt>
                <c:pt idx="39">
                  <c:v>全国</c:v>
                </c:pt>
                <c:pt idx="40">
                  <c:v>愛知県</c:v>
                </c:pt>
                <c:pt idx="41">
                  <c:v>神奈川県</c:v>
                </c:pt>
                <c:pt idx="42">
                  <c:v>宮城県</c:v>
                </c:pt>
                <c:pt idx="43">
                  <c:v>北海道</c:v>
                </c:pt>
                <c:pt idx="44">
                  <c:v>大阪府</c:v>
                </c:pt>
                <c:pt idx="45">
                  <c:v>福岡県</c:v>
                </c:pt>
                <c:pt idx="46">
                  <c:v>東京都</c:v>
                </c:pt>
                <c:pt idx="47">
                  <c:v>沖縄県</c:v>
                </c:pt>
              </c:strCache>
            </c:strRef>
          </c:cat>
          <c:val>
            <c:numRef>
              <c:f>'所有、建て方'!$C$50:$C$97</c:f>
              <c:numCache>
                <c:formatCode>0.0</c:formatCode>
                <c:ptCount val="48"/>
                <c:pt idx="0">
                  <c:v>77.3</c:v>
                </c:pt>
                <c:pt idx="1">
                  <c:v>76.8</c:v>
                </c:pt>
                <c:pt idx="2">
                  <c:v>74.900000000000006</c:v>
                </c:pt>
                <c:pt idx="3">
                  <c:v>74.900000000000006</c:v>
                </c:pt>
                <c:pt idx="4">
                  <c:v>74.3</c:v>
                </c:pt>
                <c:pt idx="5">
                  <c:v>74.099999999999994</c:v>
                </c:pt>
                <c:pt idx="6">
                  <c:v>74</c:v>
                </c:pt>
                <c:pt idx="7">
                  <c:v>73</c:v>
                </c:pt>
                <c:pt idx="8">
                  <c:v>72</c:v>
                </c:pt>
                <c:pt idx="9">
                  <c:v>71.599999999999994</c:v>
                </c:pt>
                <c:pt idx="10">
                  <c:v>71.400000000000006</c:v>
                </c:pt>
                <c:pt idx="11">
                  <c:v>71.2</c:v>
                </c:pt>
                <c:pt idx="12">
                  <c:v>71.2</c:v>
                </c:pt>
                <c:pt idx="13">
                  <c:v>70.3</c:v>
                </c:pt>
                <c:pt idx="14">
                  <c:v>70.2</c:v>
                </c:pt>
                <c:pt idx="15">
                  <c:v>70.2</c:v>
                </c:pt>
                <c:pt idx="16">
                  <c:v>69.900000000000006</c:v>
                </c:pt>
                <c:pt idx="17">
                  <c:v>69.3</c:v>
                </c:pt>
                <c:pt idx="18">
                  <c:v>69.3</c:v>
                </c:pt>
                <c:pt idx="19">
                  <c:v>69.2</c:v>
                </c:pt>
                <c:pt idx="20">
                  <c:v>69.099999999999994</c:v>
                </c:pt>
                <c:pt idx="21">
                  <c:v>68.8</c:v>
                </c:pt>
                <c:pt idx="22">
                  <c:v>67.7</c:v>
                </c:pt>
                <c:pt idx="23">
                  <c:v>67.099999999999994</c:v>
                </c:pt>
                <c:pt idx="24">
                  <c:v>67</c:v>
                </c:pt>
                <c:pt idx="25">
                  <c:v>66.900000000000006</c:v>
                </c:pt>
                <c:pt idx="26">
                  <c:v>66.5</c:v>
                </c:pt>
                <c:pt idx="27">
                  <c:v>65.7</c:v>
                </c:pt>
                <c:pt idx="28">
                  <c:v>65.7</c:v>
                </c:pt>
                <c:pt idx="29">
                  <c:v>65.400000000000006</c:v>
                </c:pt>
                <c:pt idx="30">
                  <c:v>64.900000000000006</c:v>
                </c:pt>
                <c:pt idx="31">
                  <c:v>64.900000000000006</c:v>
                </c:pt>
                <c:pt idx="32">
                  <c:v>64.8</c:v>
                </c:pt>
                <c:pt idx="33">
                  <c:v>64.599999999999994</c:v>
                </c:pt>
                <c:pt idx="34">
                  <c:v>63.7</c:v>
                </c:pt>
                <c:pt idx="35">
                  <c:v>63.6</c:v>
                </c:pt>
                <c:pt idx="36">
                  <c:v>61.9</c:v>
                </c:pt>
                <c:pt idx="37">
                  <c:v>61.4</c:v>
                </c:pt>
                <c:pt idx="38">
                  <c:v>61.3</c:v>
                </c:pt>
                <c:pt idx="39">
                  <c:v>61.2</c:v>
                </c:pt>
                <c:pt idx="40">
                  <c:v>59.5</c:v>
                </c:pt>
                <c:pt idx="41">
                  <c:v>59.1</c:v>
                </c:pt>
                <c:pt idx="42">
                  <c:v>58.1</c:v>
                </c:pt>
                <c:pt idx="43">
                  <c:v>56.3</c:v>
                </c:pt>
                <c:pt idx="44">
                  <c:v>54.7</c:v>
                </c:pt>
                <c:pt idx="45">
                  <c:v>52.8</c:v>
                </c:pt>
                <c:pt idx="46">
                  <c:v>45</c:v>
                </c:pt>
                <c:pt idx="47">
                  <c:v>44.4</c:v>
                </c:pt>
              </c:numCache>
            </c:numRef>
          </c:val>
          <c:extLst>
            <c:ext xmlns:c16="http://schemas.microsoft.com/office/drawing/2014/chart" uri="{C3380CC4-5D6E-409C-BE32-E72D297353CC}">
              <c16:uniqueId val="{00000014-AEC3-4CA2-83D1-078F4401A113}"/>
            </c:ext>
          </c:extLst>
        </c:ser>
        <c:dLbls>
          <c:showLegendKey val="0"/>
          <c:showVal val="0"/>
          <c:showCatName val="0"/>
          <c:showSerName val="0"/>
          <c:showPercent val="0"/>
          <c:showBubbleSize val="0"/>
        </c:dLbls>
        <c:gapWidth val="76"/>
        <c:axId val="41248256"/>
        <c:axId val="41249792"/>
      </c:barChart>
      <c:catAx>
        <c:axId val="41248256"/>
        <c:scaling>
          <c:orientation val="minMax"/>
        </c:scaling>
        <c:delete val="0"/>
        <c:axPos val="b"/>
        <c:numFmt formatCode="General" sourceLinked="1"/>
        <c:majorTickMark val="none"/>
        <c:minorTickMark val="none"/>
        <c:tickLblPos val="low"/>
        <c:spPr>
          <a:ln>
            <a:solidFill>
              <a:schemeClr val="tx1"/>
            </a:solidFill>
          </a:ln>
        </c:spPr>
        <c:txPr>
          <a:bodyPr vert="eaVert"/>
          <a:lstStyle/>
          <a:p>
            <a:pPr algn="ctr" rtl="0">
              <a:defRPr sz="700"/>
            </a:pPr>
            <a:endParaRPr lang="ja-JP"/>
          </a:p>
        </c:txPr>
        <c:crossAx val="41249792"/>
        <c:crosses val="autoZero"/>
        <c:auto val="1"/>
        <c:lblAlgn val="ctr"/>
        <c:lblOffset val="100"/>
        <c:noMultiLvlLbl val="0"/>
      </c:catAx>
      <c:valAx>
        <c:axId val="41249792"/>
        <c:scaling>
          <c:orientation val="minMax"/>
        </c:scaling>
        <c:delete val="0"/>
        <c:axPos val="l"/>
        <c:majorGridlines>
          <c:spPr>
            <a:ln>
              <a:solidFill>
                <a:schemeClr val="tx1"/>
              </a:solidFill>
              <a:prstDash val="sysDot"/>
            </a:ln>
          </c:spPr>
        </c:majorGridlines>
        <c:numFmt formatCode="#,##0_);[Red]\(#,##0\)" sourceLinked="0"/>
        <c:majorTickMark val="none"/>
        <c:minorTickMark val="none"/>
        <c:tickLblPos val="nextTo"/>
        <c:spPr>
          <a:ln>
            <a:solidFill>
              <a:schemeClr val="tx1"/>
            </a:solidFill>
          </a:ln>
        </c:spPr>
        <c:txPr>
          <a:bodyPr/>
          <a:lstStyle/>
          <a:p>
            <a:pPr algn="ctr" rtl="0">
              <a:defRPr sz="800"/>
            </a:pPr>
            <a:endParaRPr lang="ja-JP"/>
          </a:p>
        </c:txPr>
        <c:crossAx val="41248256"/>
        <c:crosses val="autoZero"/>
        <c:crossBetween val="between"/>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a:pPr>
            <a:r>
              <a:rPr lang="ja-JP" sz="700"/>
              <a:t>１住宅当たり居住室数</a:t>
            </a:r>
          </a:p>
        </c:rich>
      </c:tx>
      <c:layout>
        <c:manualLayout>
          <c:xMode val="edge"/>
          <c:yMode val="edge"/>
          <c:x val="0.18941176266318946"/>
          <c:y val="5.4718678471322533E-3"/>
        </c:manualLayout>
      </c:layout>
      <c:overlay val="1"/>
    </c:title>
    <c:autoTitleDeleted val="0"/>
    <c:plotArea>
      <c:layout>
        <c:manualLayout>
          <c:layoutTarget val="inner"/>
          <c:xMode val="edge"/>
          <c:yMode val="edge"/>
          <c:x val="6.4182852143482058E-2"/>
          <c:y val="0.1464236111111111"/>
          <c:w val="0.80078472222222219"/>
          <c:h val="0.66972083333333343"/>
        </c:manualLayout>
      </c:layout>
      <c:barChart>
        <c:barDir val="col"/>
        <c:grouping val="clustered"/>
        <c:varyColors val="0"/>
        <c:ser>
          <c:idx val="0"/>
          <c:order val="0"/>
          <c:spPr>
            <a:pattFill prst="pct20">
              <a:fgClr>
                <a:schemeClr val="accent5"/>
              </a:fgClr>
              <a:bgClr>
                <a:schemeClr val="bg1"/>
              </a:bgClr>
            </a:pattFill>
          </c:spPr>
          <c:invertIfNegative val="0"/>
          <c:dPt>
            <c:idx val="0"/>
            <c:invertIfNegative val="0"/>
            <c:bubble3D val="0"/>
            <c:spPr>
              <a:pattFill prst="pct20">
                <a:fgClr>
                  <a:schemeClr val="accent5"/>
                </a:fgClr>
                <a:bgClr>
                  <a:schemeClr val="bg1"/>
                </a:bgClr>
              </a:pattFill>
              <a:ln>
                <a:solidFill>
                  <a:schemeClr val="tx1"/>
                </a:solidFill>
              </a:ln>
            </c:spPr>
            <c:extLst>
              <c:ext xmlns:c16="http://schemas.microsoft.com/office/drawing/2014/chart" uri="{C3380CC4-5D6E-409C-BE32-E72D297353CC}">
                <c16:uniqueId val="{00000001-BF89-412B-8D0D-4B4A78B00C73}"/>
              </c:ext>
            </c:extLst>
          </c:dPt>
          <c:dPt>
            <c:idx val="1"/>
            <c:invertIfNegative val="0"/>
            <c:bubble3D val="0"/>
            <c:spPr>
              <a:pattFill prst="ltUpDiag">
                <a:fgClr>
                  <a:schemeClr val="accent5"/>
                </a:fgClr>
                <a:bgClr>
                  <a:schemeClr val="bg1"/>
                </a:bgClr>
              </a:pattFill>
              <a:ln>
                <a:solidFill>
                  <a:schemeClr val="tx1"/>
                </a:solidFill>
              </a:ln>
            </c:spPr>
            <c:extLst>
              <c:ext xmlns:c16="http://schemas.microsoft.com/office/drawing/2014/chart" uri="{C3380CC4-5D6E-409C-BE32-E72D297353CC}">
                <c16:uniqueId val="{00000003-BF89-412B-8D0D-4B4A78B00C73}"/>
              </c:ext>
            </c:extLst>
          </c:dPt>
          <c:dLbls>
            <c:dLbl>
              <c:idx val="0"/>
              <c:layout>
                <c:manualLayout>
                  <c:x val="0"/>
                  <c:y val="2.63865030119496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89-412B-8D0D-4B4A78B00C73}"/>
                </c:ext>
              </c:extLst>
            </c:dLbl>
            <c:dLbl>
              <c:idx val="1"/>
              <c:layout>
                <c:manualLayout>
                  <c:x val="0"/>
                  <c:y val="1.761490913319495E-2"/>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89-412B-8D0D-4B4A78B00C73}"/>
                </c:ext>
              </c:extLst>
            </c:dLbl>
            <c:spPr>
              <a:noFill/>
              <a:ln>
                <a:noFill/>
              </a:ln>
              <a:effectLst/>
            </c:spPr>
            <c:txPr>
              <a:bodyPr/>
              <a:lstStyle/>
              <a:p>
                <a:pPr>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専用住宅の規模!$I$22:$I$23</c:f>
              <c:strCache>
                <c:ptCount val="2"/>
                <c:pt idx="0">
                  <c:v>全　国</c:v>
                </c:pt>
                <c:pt idx="1">
                  <c:v>秋田県</c:v>
                </c:pt>
              </c:strCache>
            </c:strRef>
          </c:cat>
          <c:val>
            <c:numRef>
              <c:f>専用住宅の規模!$J$22:$J$23</c:f>
              <c:numCache>
                <c:formatCode>###,##0.00;"-"##,##0.00</c:formatCode>
                <c:ptCount val="2"/>
                <c:pt idx="0">
                  <c:v>4.4000000000000004</c:v>
                </c:pt>
                <c:pt idx="1">
                  <c:v>5.61</c:v>
                </c:pt>
              </c:numCache>
            </c:numRef>
          </c:val>
          <c:extLst>
            <c:ext xmlns:c16="http://schemas.microsoft.com/office/drawing/2014/chart" uri="{C3380CC4-5D6E-409C-BE32-E72D297353CC}">
              <c16:uniqueId val="{00000004-BF89-412B-8D0D-4B4A78B00C73}"/>
            </c:ext>
          </c:extLst>
        </c:ser>
        <c:dLbls>
          <c:showLegendKey val="0"/>
          <c:showVal val="0"/>
          <c:showCatName val="0"/>
          <c:showSerName val="0"/>
          <c:showPercent val="0"/>
          <c:showBubbleSize val="0"/>
        </c:dLbls>
        <c:gapWidth val="150"/>
        <c:axId val="41682432"/>
        <c:axId val="41683968"/>
      </c:barChart>
      <c:catAx>
        <c:axId val="41682432"/>
        <c:scaling>
          <c:orientation val="minMax"/>
        </c:scaling>
        <c:delete val="0"/>
        <c:axPos val="b"/>
        <c:numFmt formatCode="General" sourceLinked="0"/>
        <c:majorTickMark val="in"/>
        <c:minorTickMark val="none"/>
        <c:tickLblPos val="nextTo"/>
        <c:txPr>
          <a:bodyPr/>
          <a:lstStyle/>
          <a:p>
            <a:pPr>
              <a:defRPr sz="800"/>
            </a:pPr>
            <a:endParaRPr lang="ja-JP"/>
          </a:p>
        </c:txPr>
        <c:crossAx val="41683968"/>
        <c:crosses val="autoZero"/>
        <c:auto val="1"/>
        <c:lblAlgn val="ctr"/>
        <c:lblOffset val="100"/>
        <c:noMultiLvlLbl val="0"/>
      </c:catAx>
      <c:valAx>
        <c:axId val="41683968"/>
        <c:scaling>
          <c:orientation val="minMax"/>
        </c:scaling>
        <c:delete val="0"/>
        <c:axPos val="l"/>
        <c:majorGridlines>
          <c:spPr>
            <a:ln>
              <a:noFill/>
            </a:ln>
          </c:spPr>
        </c:majorGridlines>
        <c:numFmt formatCode="#,##0_);[Red]\(#,##0\)" sourceLinked="0"/>
        <c:majorTickMark val="in"/>
        <c:minorTickMark val="none"/>
        <c:tickLblPos val="nextTo"/>
        <c:txPr>
          <a:bodyPr/>
          <a:lstStyle/>
          <a:p>
            <a:pPr>
              <a:defRPr sz="800"/>
            </a:pPr>
            <a:endParaRPr lang="ja-JP"/>
          </a:p>
        </c:txPr>
        <c:crossAx val="41682432"/>
        <c:crosses val="autoZero"/>
        <c:crossBetween val="between"/>
        <c:majorUnit val="1"/>
      </c:valAx>
      <c:spPr>
        <a:ln>
          <a:solidFill>
            <a:schemeClr val="tx1"/>
          </a:solidFill>
        </a:ln>
      </c:spPr>
    </c:plotArea>
    <c:plotVisOnly val="1"/>
    <c:dispBlanksAs val="gap"/>
    <c:showDLblsOverMax val="0"/>
  </c:chart>
  <c:txPr>
    <a:bodyPr/>
    <a:lstStyle/>
    <a:p>
      <a:pPr>
        <a:defRPr>
          <a:latin typeface="+mj-ea"/>
          <a:ea typeface="+mj-ea"/>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900" i="0" u="none" strike="noStrike" baseline="0">
                <a:solidFill>
                  <a:schemeClr val="tx1"/>
                </a:solidFill>
              </a:defRPr>
            </a:pPr>
            <a:r>
              <a:rPr lang="ja-JP" altLang="en-US" sz="900" b="1" i="0" u="none" strike="noStrike" baseline="0">
                <a:solidFill>
                  <a:schemeClr val="tx1"/>
                </a:solidFill>
                <a:latin typeface="+mj-ea"/>
                <a:ea typeface="+mj-ea"/>
              </a:rPr>
              <a:t>住宅の構造別割合－秋田県（平成</a:t>
            </a:r>
            <a:r>
              <a:rPr lang="en-US" altLang="ja-JP" sz="900" b="1" i="0" u="none" strike="noStrike" baseline="0">
                <a:solidFill>
                  <a:schemeClr val="tx1"/>
                </a:solidFill>
                <a:latin typeface="+mj-ea"/>
                <a:ea typeface="+mj-ea"/>
              </a:rPr>
              <a:t>30</a:t>
            </a:r>
            <a:r>
              <a:rPr lang="ja-JP" altLang="en-US" sz="900" b="1" i="0" u="none" strike="noStrike" baseline="0">
                <a:solidFill>
                  <a:schemeClr val="tx1"/>
                </a:solidFill>
                <a:latin typeface="+mj-ea"/>
                <a:ea typeface="+mj-ea"/>
              </a:rPr>
              <a:t>年）</a:t>
            </a:r>
          </a:p>
        </c:rich>
      </c:tx>
      <c:layout>
        <c:manualLayout>
          <c:xMode val="edge"/>
          <c:yMode val="edge"/>
          <c:x val="0.32863818252226668"/>
          <c:y val="2.3722748942096524E-2"/>
        </c:manualLayout>
      </c:layout>
      <c:overlay val="0"/>
    </c:title>
    <c:autoTitleDeleted val="0"/>
    <c:plotArea>
      <c:layout>
        <c:manualLayout>
          <c:layoutTarget val="inner"/>
          <c:xMode val="edge"/>
          <c:yMode val="edge"/>
          <c:x val="2.7638333333333334E-2"/>
          <c:y val="0.28726000000000002"/>
          <c:w val="0.93748962962962956"/>
          <c:h val="0.47090666666666681"/>
        </c:manualLayout>
      </c:layout>
      <c:barChart>
        <c:barDir val="bar"/>
        <c:grouping val="percentStacked"/>
        <c:varyColors val="0"/>
        <c:ser>
          <c:idx val="0"/>
          <c:order val="0"/>
          <c:tx>
            <c:strRef>
              <c:f>要約掲載図表!$B$28</c:f>
              <c:strCache>
                <c:ptCount val="1"/>
                <c:pt idx="0">
                  <c:v>木造（防火木造を含む）</c:v>
                </c:pt>
              </c:strCache>
            </c:strRef>
          </c:tx>
          <c:spPr>
            <a:pattFill prst="pct30">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0-3758-4577-8A29-94FD1445D4CF}"/>
              </c:ext>
            </c:extLst>
          </c:dPt>
          <c:dLbls>
            <c:dLbl>
              <c:idx val="0"/>
              <c:numFmt formatCode="#,##0.0_);[Red]\(#,##0.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1"/>
              <c:showPercent val="0"/>
              <c:showBubbleSize val="0"/>
              <c:extLst>
                <c:ext xmlns:c16="http://schemas.microsoft.com/office/drawing/2014/chart" uri="{C3380CC4-5D6E-409C-BE32-E72D297353CC}">
                  <c16:uniqueId val="{00000000-3758-4577-8A29-94FD1445D4CF}"/>
                </c:ext>
              </c:extLst>
            </c:dLbl>
            <c:numFmt formatCode="#,##0.0_);[Red]\(#,##0.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Ref>
              <c:f>要約掲載図表!$B$29</c:f>
              <c:numCache>
                <c:formatCode>General</c:formatCode>
                <c:ptCount val="1"/>
                <c:pt idx="0">
                  <c:v>88.6</c:v>
                </c:pt>
              </c:numCache>
            </c:numRef>
          </c:val>
          <c:extLst>
            <c:ext xmlns:c16="http://schemas.microsoft.com/office/drawing/2014/chart" uri="{C3380CC4-5D6E-409C-BE32-E72D297353CC}">
              <c16:uniqueId val="{00000001-3758-4577-8A29-94FD1445D4CF}"/>
            </c:ext>
          </c:extLst>
        </c:ser>
        <c:ser>
          <c:idx val="1"/>
          <c:order val="1"/>
          <c:tx>
            <c:strRef>
              <c:f>要約掲載図表!$C$28</c:f>
              <c:strCache>
                <c:ptCount val="1"/>
                <c:pt idx="0">
                  <c:v>非木造</c:v>
                </c:pt>
              </c:strCache>
            </c:strRef>
          </c:tx>
          <c:spPr>
            <a:pattFill prst="pct20">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val>
            <c:numRef>
              <c:f>要約掲載図表!$C$29</c:f>
              <c:numCache>
                <c:formatCode>General</c:formatCode>
                <c:ptCount val="1"/>
                <c:pt idx="0">
                  <c:v>11.4</c:v>
                </c:pt>
              </c:numCache>
            </c:numRef>
          </c:val>
          <c:extLst>
            <c:ext xmlns:c16="http://schemas.microsoft.com/office/drawing/2014/chart" uri="{C3380CC4-5D6E-409C-BE32-E72D297353CC}">
              <c16:uniqueId val="{00000002-3758-4577-8A29-94FD1445D4CF}"/>
            </c:ext>
          </c:extLst>
        </c:ser>
        <c:dLbls>
          <c:showLegendKey val="0"/>
          <c:showVal val="0"/>
          <c:showCatName val="0"/>
          <c:showSerName val="0"/>
          <c:showPercent val="0"/>
          <c:showBubbleSize val="0"/>
        </c:dLbls>
        <c:gapWidth val="40"/>
        <c:overlap val="100"/>
        <c:serLines>
          <c:spPr>
            <a:ln w="6350">
              <a:prstDash val="sysDot"/>
            </a:ln>
          </c:spPr>
        </c:serLines>
        <c:axId val="1"/>
        <c:axId val="2"/>
      </c:barChart>
      <c:catAx>
        <c:axId val="1"/>
        <c:scaling>
          <c:orientation val="minMax"/>
        </c:scaling>
        <c:delete val="1"/>
        <c:axPos val="l"/>
        <c:numFmt formatCode="General" sourceLinked="1"/>
        <c:majorTickMark val="out"/>
        <c:minorTickMark val="none"/>
        <c:tickLblPos val="nextTo"/>
        <c:crossAx val="2"/>
        <c:crosses val="autoZero"/>
        <c:auto val="1"/>
        <c:lblAlgn val="ctr"/>
        <c:lblOffset val="100"/>
        <c:noMultiLvlLbl val="0"/>
      </c:catAx>
      <c:valAx>
        <c:axId val="2"/>
        <c:scaling>
          <c:orientation val="minMax"/>
          <c:min val="0"/>
        </c:scaling>
        <c:delete val="0"/>
        <c:axPos val="b"/>
        <c:majorGridlines>
          <c:spPr>
            <a:ln>
              <a:prstDash val="sysDash"/>
            </a:ln>
          </c:spPr>
        </c:majorGridlines>
        <c:numFmt formatCode="0%" sourceLinked="1"/>
        <c:majorTickMark val="out"/>
        <c:minorTickMark val="in"/>
        <c:tickLblPos val="nextTo"/>
        <c:txPr>
          <a:bodyPr horzOverflow="overflow" anchor="ctr" anchorCtr="1"/>
          <a:lstStyle/>
          <a:p>
            <a:pPr algn="ctr" rtl="0">
              <a:defRPr sz="700">
                <a:solidFill>
                  <a:schemeClr val="tx1"/>
                </a:solidFill>
              </a:defRPr>
            </a:pPr>
            <a:endParaRPr lang="ja-JP"/>
          </a:p>
        </c:txPr>
        <c:crossAx val="1"/>
        <c:crosses val="autoZero"/>
        <c:crossBetween val="between"/>
        <c:majorUnit val="0.2"/>
        <c:minorUnit val="0.1"/>
      </c:valAx>
      <c:spPr>
        <a:ln w="3175">
          <a:solidFill>
            <a:schemeClr val="tx1">
              <a:tint val="75000"/>
              <a:shade val="95000"/>
              <a:satMod val="105000"/>
            </a:schemeClr>
          </a:solidFill>
        </a:ln>
      </c:spPr>
    </c:plotArea>
    <c:plotVisOnly val="1"/>
    <c:dispBlanksAs val="gap"/>
    <c:showDLblsOverMax val="0"/>
  </c:chart>
  <c:spPr>
    <a:ln>
      <a:solidFill>
        <a:sysClr val="windowText" lastClr="000000"/>
      </a:solidFill>
    </a:ln>
  </c:spPr>
  <c:txPr>
    <a:bodyPr horzOverflow="overflow" anchor="ctr" anchorCtr="1"/>
    <a:lstStyle/>
    <a:p>
      <a:pPr algn="ctr" rtl="0">
        <a:defRPr lang="ja-JP" altLang="en-US" sz="700">
          <a:solidFill>
            <a:schemeClr val="tx1"/>
          </a:solidFill>
          <a:latin typeface="+mj-ea"/>
          <a:ea typeface="+mj-ea"/>
        </a:defRPr>
      </a:pPr>
      <a:endParaRPr lang="ja-JP"/>
    </a:p>
  </c:txPr>
  <c:externalData r:id="rId2">
    <c:autoUpdate val="0"/>
  </c:externalData>
  <c:extLst/>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a:pPr>
            <a:r>
              <a:rPr lang="ja-JP" sz="700"/>
              <a:t>１住宅当たり居住室の畳数</a:t>
            </a:r>
          </a:p>
        </c:rich>
      </c:tx>
      <c:layout>
        <c:manualLayout>
          <c:xMode val="edge"/>
          <c:yMode val="edge"/>
          <c:x val="0.18941203703703705"/>
          <c:y val="1.4328472222222222E-2"/>
        </c:manualLayout>
      </c:layout>
      <c:overlay val="1"/>
    </c:title>
    <c:autoTitleDeleted val="0"/>
    <c:plotArea>
      <c:layout>
        <c:manualLayout>
          <c:layoutTarget val="inner"/>
          <c:xMode val="edge"/>
          <c:yMode val="edge"/>
          <c:x val="6.4182852143482058E-2"/>
          <c:y val="0.1464236111111111"/>
          <c:w val="0.80078472222222219"/>
          <c:h val="0.66972083333333343"/>
        </c:manualLayout>
      </c:layout>
      <c:barChart>
        <c:barDir val="col"/>
        <c:grouping val="clustered"/>
        <c:varyColors val="0"/>
        <c:ser>
          <c:idx val="0"/>
          <c:order val="0"/>
          <c:spPr>
            <a:pattFill prst="pct20">
              <a:fgClr>
                <a:schemeClr val="accent5"/>
              </a:fgClr>
              <a:bgClr>
                <a:schemeClr val="bg1"/>
              </a:bgClr>
            </a:pattFill>
          </c:spPr>
          <c:invertIfNegative val="0"/>
          <c:dPt>
            <c:idx val="0"/>
            <c:invertIfNegative val="0"/>
            <c:bubble3D val="0"/>
            <c:spPr>
              <a:pattFill prst="pct20">
                <a:fgClr>
                  <a:schemeClr val="accent5"/>
                </a:fgClr>
                <a:bgClr>
                  <a:schemeClr val="bg1"/>
                </a:bgClr>
              </a:pattFill>
              <a:ln>
                <a:solidFill>
                  <a:schemeClr val="tx1"/>
                </a:solidFill>
              </a:ln>
            </c:spPr>
            <c:extLst>
              <c:ext xmlns:c16="http://schemas.microsoft.com/office/drawing/2014/chart" uri="{C3380CC4-5D6E-409C-BE32-E72D297353CC}">
                <c16:uniqueId val="{00000001-3A3D-4370-8BF7-C872A965D5F9}"/>
              </c:ext>
            </c:extLst>
          </c:dPt>
          <c:dPt>
            <c:idx val="1"/>
            <c:invertIfNegative val="0"/>
            <c:bubble3D val="0"/>
            <c:spPr>
              <a:pattFill prst="ltUpDiag">
                <a:fgClr>
                  <a:schemeClr val="accent5"/>
                </a:fgClr>
                <a:bgClr>
                  <a:schemeClr val="bg1"/>
                </a:bgClr>
              </a:pattFill>
              <a:ln>
                <a:solidFill>
                  <a:schemeClr val="tx1"/>
                </a:solidFill>
              </a:ln>
            </c:spPr>
            <c:extLst>
              <c:ext xmlns:c16="http://schemas.microsoft.com/office/drawing/2014/chart" uri="{C3380CC4-5D6E-409C-BE32-E72D297353CC}">
                <c16:uniqueId val="{00000003-3A3D-4370-8BF7-C872A965D5F9}"/>
              </c:ext>
            </c:extLst>
          </c:dPt>
          <c:dLbls>
            <c:dLbl>
              <c:idx val="0"/>
              <c:layout>
                <c:manualLayout>
                  <c:x val="0"/>
                  <c:y val="2.6385806687913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3D-4370-8BF7-C872A965D5F9}"/>
                </c:ext>
              </c:extLst>
            </c:dLbl>
            <c:dLbl>
              <c:idx val="1"/>
              <c:layout>
                <c:manualLayout>
                  <c:x val="0"/>
                  <c:y val="8.7715938787546657E-3"/>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3D-4370-8BF7-C872A965D5F9}"/>
                </c:ext>
              </c:extLst>
            </c:dLbl>
            <c:spPr>
              <a:noFill/>
              <a:ln>
                <a:noFill/>
              </a:ln>
              <a:effectLst/>
            </c:spPr>
            <c:txPr>
              <a:bodyPr/>
              <a:lstStyle/>
              <a:p>
                <a:pPr>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専用住宅の規模!$K$22:$K$23</c:f>
              <c:strCache>
                <c:ptCount val="2"/>
                <c:pt idx="0">
                  <c:v>全　国</c:v>
                </c:pt>
                <c:pt idx="1">
                  <c:v>秋田県</c:v>
                </c:pt>
              </c:strCache>
            </c:strRef>
          </c:cat>
          <c:val>
            <c:numRef>
              <c:f>専用住宅の規模!$L$22:$L$23</c:f>
              <c:numCache>
                <c:formatCode>###,##0.00;"-"##,##0.00</c:formatCode>
                <c:ptCount val="2"/>
                <c:pt idx="0">
                  <c:v>32.74</c:v>
                </c:pt>
                <c:pt idx="1">
                  <c:v>44.14</c:v>
                </c:pt>
              </c:numCache>
            </c:numRef>
          </c:val>
          <c:extLst>
            <c:ext xmlns:c16="http://schemas.microsoft.com/office/drawing/2014/chart" uri="{C3380CC4-5D6E-409C-BE32-E72D297353CC}">
              <c16:uniqueId val="{00000004-3A3D-4370-8BF7-C872A965D5F9}"/>
            </c:ext>
          </c:extLst>
        </c:ser>
        <c:dLbls>
          <c:showLegendKey val="0"/>
          <c:showVal val="0"/>
          <c:showCatName val="0"/>
          <c:showSerName val="0"/>
          <c:showPercent val="0"/>
          <c:showBubbleSize val="0"/>
        </c:dLbls>
        <c:gapWidth val="150"/>
        <c:axId val="41718144"/>
        <c:axId val="41719680"/>
      </c:barChart>
      <c:catAx>
        <c:axId val="41718144"/>
        <c:scaling>
          <c:orientation val="minMax"/>
        </c:scaling>
        <c:delete val="0"/>
        <c:axPos val="b"/>
        <c:numFmt formatCode="General" sourceLinked="0"/>
        <c:majorTickMark val="in"/>
        <c:minorTickMark val="none"/>
        <c:tickLblPos val="nextTo"/>
        <c:txPr>
          <a:bodyPr/>
          <a:lstStyle/>
          <a:p>
            <a:pPr>
              <a:defRPr sz="800"/>
            </a:pPr>
            <a:endParaRPr lang="ja-JP"/>
          </a:p>
        </c:txPr>
        <c:crossAx val="41719680"/>
        <c:crosses val="autoZero"/>
        <c:auto val="1"/>
        <c:lblAlgn val="ctr"/>
        <c:lblOffset val="100"/>
        <c:noMultiLvlLbl val="0"/>
      </c:catAx>
      <c:valAx>
        <c:axId val="41719680"/>
        <c:scaling>
          <c:orientation val="minMax"/>
        </c:scaling>
        <c:delete val="0"/>
        <c:axPos val="l"/>
        <c:majorGridlines>
          <c:spPr>
            <a:ln>
              <a:noFill/>
            </a:ln>
          </c:spPr>
        </c:majorGridlines>
        <c:numFmt formatCode="#,##0_);[Red]\(#,##0\)" sourceLinked="0"/>
        <c:majorTickMark val="in"/>
        <c:minorTickMark val="none"/>
        <c:tickLblPos val="nextTo"/>
        <c:txPr>
          <a:bodyPr/>
          <a:lstStyle/>
          <a:p>
            <a:pPr>
              <a:defRPr sz="800"/>
            </a:pPr>
            <a:endParaRPr lang="ja-JP"/>
          </a:p>
        </c:txPr>
        <c:crossAx val="41718144"/>
        <c:crosses val="autoZero"/>
        <c:crossBetween val="between"/>
        <c:majorUnit val="10"/>
      </c:valAx>
      <c:spPr>
        <a:ln>
          <a:solidFill>
            <a:schemeClr val="tx1"/>
          </a:solidFill>
        </a:ln>
      </c:spPr>
    </c:plotArea>
    <c:plotVisOnly val="1"/>
    <c:dispBlanksAs val="gap"/>
    <c:showDLblsOverMax val="0"/>
  </c:chart>
  <c:txPr>
    <a:bodyPr/>
    <a:lstStyle/>
    <a:p>
      <a:pPr>
        <a:defRPr>
          <a:latin typeface="+mj-ea"/>
          <a:ea typeface="+mj-ea"/>
        </a:defRPr>
      </a:pPr>
      <a:endParaRPr lang="ja-JP"/>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a:pPr>
            <a:r>
              <a:rPr lang="ja-JP" sz="700"/>
              <a:t>１住宅当たり延べ面積</a:t>
            </a:r>
          </a:p>
        </c:rich>
      </c:tx>
      <c:layout>
        <c:manualLayout>
          <c:xMode val="edge"/>
          <c:yMode val="edge"/>
          <c:x val="0.24821408211373502"/>
          <c:y val="5.4718678471322533E-3"/>
        </c:manualLayout>
      </c:layout>
      <c:overlay val="1"/>
    </c:title>
    <c:autoTitleDeleted val="0"/>
    <c:plotArea>
      <c:layout>
        <c:manualLayout>
          <c:layoutTarget val="inner"/>
          <c:xMode val="edge"/>
          <c:yMode val="edge"/>
          <c:x val="6.4182852143482058E-2"/>
          <c:y val="0.1464236111111111"/>
          <c:w val="0.80078472222222219"/>
          <c:h val="0.66972083333333343"/>
        </c:manualLayout>
      </c:layout>
      <c:barChart>
        <c:barDir val="col"/>
        <c:grouping val="clustered"/>
        <c:varyColors val="0"/>
        <c:ser>
          <c:idx val="0"/>
          <c:order val="0"/>
          <c:spPr>
            <a:pattFill prst="pct20">
              <a:fgClr>
                <a:schemeClr val="accent5"/>
              </a:fgClr>
              <a:bgClr>
                <a:schemeClr val="bg1"/>
              </a:bgClr>
            </a:pattFill>
          </c:spPr>
          <c:invertIfNegative val="0"/>
          <c:dPt>
            <c:idx val="0"/>
            <c:invertIfNegative val="0"/>
            <c:bubble3D val="0"/>
            <c:spPr>
              <a:pattFill prst="pct20">
                <a:fgClr>
                  <a:schemeClr val="accent5"/>
                </a:fgClr>
                <a:bgClr>
                  <a:schemeClr val="bg1"/>
                </a:bgClr>
              </a:pattFill>
              <a:ln>
                <a:solidFill>
                  <a:schemeClr val="tx1"/>
                </a:solidFill>
              </a:ln>
            </c:spPr>
            <c:extLst>
              <c:ext xmlns:c16="http://schemas.microsoft.com/office/drawing/2014/chart" uri="{C3380CC4-5D6E-409C-BE32-E72D297353CC}">
                <c16:uniqueId val="{00000001-DF3F-4E24-875D-2B2E793ABF71}"/>
              </c:ext>
            </c:extLst>
          </c:dPt>
          <c:dPt>
            <c:idx val="1"/>
            <c:invertIfNegative val="0"/>
            <c:bubble3D val="0"/>
            <c:spPr>
              <a:pattFill prst="ltUpDiag">
                <a:fgClr>
                  <a:schemeClr val="accent5"/>
                </a:fgClr>
                <a:bgClr>
                  <a:schemeClr val="bg1"/>
                </a:bgClr>
              </a:pattFill>
              <a:ln>
                <a:solidFill>
                  <a:schemeClr val="tx1"/>
                </a:solidFill>
              </a:ln>
            </c:spPr>
            <c:extLst>
              <c:ext xmlns:c16="http://schemas.microsoft.com/office/drawing/2014/chart" uri="{C3380CC4-5D6E-409C-BE32-E72D297353CC}">
                <c16:uniqueId val="{00000003-DF3F-4E24-875D-2B2E793ABF71}"/>
              </c:ext>
            </c:extLst>
          </c:dPt>
          <c:dLbls>
            <c:dLbl>
              <c:idx val="0"/>
              <c:layout>
                <c:manualLayout>
                  <c:x val="3.3688439680145138E-17"/>
                  <c:y val="2.63865030119496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3F-4E24-875D-2B2E793ABF71}"/>
                </c:ext>
              </c:extLst>
            </c:dLbl>
            <c:dLbl>
              <c:idx val="1"/>
              <c:layout>
                <c:manualLayout>
                  <c:x val="0"/>
                  <c:y val="1.761490913319495E-2"/>
                </c:manualLayout>
              </c:layout>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3F-4E24-875D-2B2E793ABF71}"/>
                </c:ext>
              </c:extLst>
            </c:dLbl>
            <c:spPr>
              <a:noFill/>
              <a:ln>
                <a:noFill/>
              </a:ln>
              <a:effectLst/>
            </c:spPr>
            <c:txPr>
              <a:bodyPr/>
              <a:lstStyle/>
              <a:p>
                <a:pPr>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専用住宅の規模!$M$22:$M$23</c:f>
              <c:strCache>
                <c:ptCount val="2"/>
                <c:pt idx="0">
                  <c:v>全　国</c:v>
                </c:pt>
                <c:pt idx="1">
                  <c:v>秋田県</c:v>
                </c:pt>
              </c:strCache>
            </c:strRef>
          </c:cat>
          <c:val>
            <c:numRef>
              <c:f>専用住宅の規模!$N$22:$N$23</c:f>
              <c:numCache>
                <c:formatCode>###,##0.00;"-"##,##0.00</c:formatCode>
                <c:ptCount val="2"/>
                <c:pt idx="0">
                  <c:v>92.08</c:v>
                </c:pt>
                <c:pt idx="1">
                  <c:v>130.41</c:v>
                </c:pt>
              </c:numCache>
            </c:numRef>
          </c:val>
          <c:extLst>
            <c:ext xmlns:c16="http://schemas.microsoft.com/office/drawing/2014/chart" uri="{C3380CC4-5D6E-409C-BE32-E72D297353CC}">
              <c16:uniqueId val="{00000004-DF3F-4E24-875D-2B2E793ABF71}"/>
            </c:ext>
          </c:extLst>
        </c:ser>
        <c:dLbls>
          <c:showLegendKey val="0"/>
          <c:showVal val="0"/>
          <c:showCatName val="0"/>
          <c:showSerName val="0"/>
          <c:showPercent val="0"/>
          <c:showBubbleSize val="0"/>
        </c:dLbls>
        <c:gapWidth val="150"/>
        <c:axId val="41495168"/>
        <c:axId val="41501056"/>
      </c:barChart>
      <c:catAx>
        <c:axId val="41495168"/>
        <c:scaling>
          <c:orientation val="minMax"/>
        </c:scaling>
        <c:delete val="0"/>
        <c:axPos val="b"/>
        <c:numFmt formatCode="General" sourceLinked="0"/>
        <c:majorTickMark val="in"/>
        <c:minorTickMark val="none"/>
        <c:tickLblPos val="nextTo"/>
        <c:txPr>
          <a:bodyPr/>
          <a:lstStyle/>
          <a:p>
            <a:pPr>
              <a:defRPr sz="800"/>
            </a:pPr>
            <a:endParaRPr lang="ja-JP"/>
          </a:p>
        </c:txPr>
        <c:crossAx val="41501056"/>
        <c:crosses val="autoZero"/>
        <c:auto val="1"/>
        <c:lblAlgn val="ctr"/>
        <c:lblOffset val="100"/>
        <c:noMultiLvlLbl val="0"/>
      </c:catAx>
      <c:valAx>
        <c:axId val="41501056"/>
        <c:scaling>
          <c:orientation val="minMax"/>
        </c:scaling>
        <c:delete val="0"/>
        <c:axPos val="l"/>
        <c:majorGridlines>
          <c:spPr>
            <a:ln>
              <a:noFill/>
            </a:ln>
          </c:spPr>
        </c:majorGridlines>
        <c:numFmt formatCode="#,##0_);[Red]\(#,##0\)" sourceLinked="0"/>
        <c:majorTickMark val="in"/>
        <c:minorTickMark val="none"/>
        <c:tickLblPos val="nextTo"/>
        <c:txPr>
          <a:bodyPr/>
          <a:lstStyle/>
          <a:p>
            <a:pPr>
              <a:defRPr sz="800"/>
            </a:pPr>
            <a:endParaRPr lang="ja-JP"/>
          </a:p>
        </c:txPr>
        <c:crossAx val="41495168"/>
        <c:crosses val="autoZero"/>
        <c:crossBetween val="between"/>
        <c:majorUnit val="50"/>
      </c:valAx>
      <c:spPr>
        <a:ln>
          <a:solidFill>
            <a:schemeClr val="tx1"/>
          </a:solidFill>
        </a:ln>
      </c:spPr>
    </c:plotArea>
    <c:plotVisOnly val="1"/>
    <c:dispBlanksAs val="gap"/>
    <c:showDLblsOverMax val="0"/>
  </c:chart>
  <c:txPr>
    <a:bodyPr/>
    <a:lstStyle/>
    <a:p>
      <a:pPr>
        <a:defRPr>
          <a:latin typeface="+mj-ea"/>
          <a:ea typeface="+mj-ea"/>
        </a:defRPr>
      </a:pPr>
      <a:endParaRPr lang="ja-JP"/>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図８－２　専用住宅の</a:t>
            </a:r>
            <a:r>
              <a:rPr lang="en-US" sz="800"/>
              <a:t>1</a:t>
            </a:r>
            <a:r>
              <a:rPr lang="ja-JP" sz="800"/>
              <a:t>住宅当たり延べ面積の推移</a:t>
            </a:r>
            <a:r>
              <a:rPr lang="ja-JP" altLang="en-US" sz="800"/>
              <a:t>－</a:t>
            </a:r>
            <a:r>
              <a:rPr lang="ja-JP" sz="800"/>
              <a:t>秋田県</a:t>
            </a:r>
            <a:endParaRPr lang="en-US" altLang="ja-JP" sz="800"/>
          </a:p>
          <a:p>
            <a:pPr algn="ctr" rtl="0">
              <a:defRPr sz="800"/>
            </a:pPr>
            <a:r>
              <a:rPr lang="ja-JP" sz="800"/>
              <a:t>（昭和</a:t>
            </a:r>
            <a:r>
              <a:rPr lang="en-US" sz="800"/>
              <a:t>63</a:t>
            </a:r>
            <a:r>
              <a:rPr lang="ja-JP" sz="800"/>
              <a:t>年～平成30年）</a:t>
            </a:r>
          </a:p>
        </c:rich>
      </c:tx>
      <c:layout>
        <c:manualLayout>
          <c:xMode val="edge"/>
          <c:yMode val="edge"/>
          <c:x val="0.20084719922316616"/>
          <c:y val="6.5057289773503397E-4"/>
        </c:manualLayout>
      </c:layout>
      <c:overlay val="0"/>
    </c:title>
    <c:autoTitleDeleted val="0"/>
    <c:plotArea>
      <c:layout>
        <c:manualLayout>
          <c:layoutTarget val="inner"/>
          <c:xMode val="edge"/>
          <c:yMode val="edge"/>
          <c:x val="7.7164814814814811E-2"/>
          <c:y val="0.23402137704198286"/>
          <c:w val="0.89698337707786524"/>
          <c:h val="0.66122171049373546"/>
        </c:manualLayout>
      </c:layout>
      <c:lineChart>
        <c:grouping val="standard"/>
        <c:varyColors val="0"/>
        <c:ser>
          <c:idx val="0"/>
          <c:order val="0"/>
          <c:tx>
            <c:strRef>
              <c:f>専用住宅の規模!$A$22</c:f>
              <c:strCache>
                <c:ptCount val="1"/>
                <c:pt idx="0">
                  <c:v>総数</c:v>
                </c:pt>
              </c:strCache>
            </c:strRef>
          </c:tx>
          <c:spPr>
            <a:ln w="15875">
              <a:solidFill>
                <a:schemeClr val="tx1"/>
              </a:solidFill>
            </a:ln>
          </c:spPr>
          <c:marker>
            <c:symbol val="diamond"/>
            <c:size val="6"/>
            <c:spPr>
              <a:solidFill>
                <a:schemeClr val="tx1"/>
              </a:solidFill>
              <a:ln>
                <a:solidFill>
                  <a:schemeClr val="accent5"/>
                </a:solidFill>
              </a:ln>
            </c:spPr>
          </c:marker>
          <c:dLbls>
            <c:spPr>
              <a:noFill/>
              <a:ln>
                <a:noFill/>
              </a:ln>
              <a:effectLst/>
            </c:spPr>
            <c:txPr>
              <a:bodyPr rot="0"/>
              <a:lstStyle/>
              <a:p>
                <a:pPr algn="ctr" rtl="0">
                  <a:defRPr sz="700"/>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専用住宅の規模!$B$21:$H$21</c:f>
              <c:strCache>
                <c:ptCount val="7"/>
                <c:pt idx="0">
                  <c:v>昭和63年</c:v>
                </c:pt>
                <c:pt idx="1">
                  <c:v>平成5年</c:v>
                </c:pt>
                <c:pt idx="2">
                  <c:v>10年</c:v>
                </c:pt>
                <c:pt idx="3">
                  <c:v>15年</c:v>
                </c:pt>
                <c:pt idx="4">
                  <c:v>20年</c:v>
                </c:pt>
                <c:pt idx="5">
                  <c:v>25年</c:v>
                </c:pt>
                <c:pt idx="6">
                  <c:v>30年</c:v>
                </c:pt>
              </c:strCache>
            </c:strRef>
          </c:cat>
          <c:val>
            <c:numRef>
              <c:f>専用住宅の規模!$B$22:$H$22</c:f>
              <c:numCache>
                <c:formatCode>General</c:formatCode>
                <c:ptCount val="7"/>
                <c:pt idx="0">
                  <c:v>136.06</c:v>
                </c:pt>
                <c:pt idx="1">
                  <c:v>140.94999999999999</c:v>
                </c:pt>
                <c:pt idx="2">
                  <c:v>138.74</c:v>
                </c:pt>
                <c:pt idx="3">
                  <c:v>138.61000000000001</c:v>
                </c:pt>
                <c:pt idx="4">
                  <c:v>139.84</c:v>
                </c:pt>
                <c:pt idx="5">
                  <c:v>136.58000000000001</c:v>
                </c:pt>
                <c:pt idx="6">
                  <c:v>130.41</c:v>
                </c:pt>
              </c:numCache>
            </c:numRef>
          </c:val>
          <c:smooth val="0"/>
          <c:extLst>
            <c:ext xmlns:c16="http://schemas.microsoft.com/office/drawing/2014/chart" uri="{C3380CC4-5D6E-409C-BE32-E72D297353CC}">
              <c16:uniqueId val="{00000000-ECE8-4E82-BA94-F0EC6D452649}"/>
            </c:ext>
          </c:extLst>
        </c:ser>
        <c:ser>
          <c:idx val="1"/>
          <c:order val="1"/>
          <c:tx>
            <c:strRef>
              <c:f>専用住宅の規模!$A$23</c:f>
              <c:strCache>
                <c:ptCount val="1"/>
                <c:pt idx="0">
                  <c:v>持ち家</c:v>
                </c:pt>
              </c:strCache>
            </c:strRef>
          </c:tx>
          <c:spPr>
            <a:ln w="15875">
              <a:solidFill>
                <a:schemeClr val="tx1"/>
              </a:solidFill>
              <a:prstDash val="sysDot"/>
            </a:ln>
          </c:spPr>
          <c:marker>
            <c:spPr>
              <a:solidFill>
                <a:schemeClr val="tx1"/>
              </a:solidFill>
              <a:ln>
                <a:solidFill>
                  <a:schemeClr val="accent5"/>
                </a:solidFill>
              </a:ln>
            </c:spPr>
          </c:marker>
          <c:dLbls>
            <c:spPr>
              <a:solidFill>
                <a:schemeClr val="bg1"/>
              </a:solidFill>
            </c:spPr>
            <c:txPr>
              <a:bodyPr rot="0"/>
              <a:lstStyle/>
              <a:p>
                <a:pPr algn="ctr" rtl="0">
                  <a:defRPr sz="7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専用住宅の規模!$B$21:$H$21</c:f>
              <c:strCache>
                <c:ptCount val="7"/>
                <c:pt idx="0">
                  <c:v>昭和63年</c:v>
                </c:pt>
                <c:pt idx="1">
                  <c:v>平成5年</c:v>
                </c:pt>
                <c:pt idx="2">
                  <c:v>10年</c:v>
                </c:pt>
                <c:pt idx="3">
                  <c:v>15年</c:v>
                </c:pt>
                <c:pt idx="4">
                  <c:v>20年</c:v>
                </c:pt>
                <c:pt idx="5">
                  <c:v>25年</c:v>
                </c:pt>
                <c:pt idx="6">
                  <c:v>30年</c:v>
                </c:pt>
              </c:strCache>
            </c:strRef>
          </c:cat>
          <c:val>
            <c:numRef>
              <c:f>専用住宅の規模!$B$23:$H$23</c:f>
              <c:numCache>
                <c:formatCode>General</c:formatCode>
                <c:ptCount val="7"/>
                <c:pt idx="0">
                  <c:v>154.99</c:v>
                </c:pt>
                <c:pt idx="1">
                  <c:v>162.29</c:v>
                </c:pt>
                <c:pt idx="2">
                  <c:v>163.11000000000001</c:v>
                </c:pt>
                <c:pt idx="3">
                  <c:v>162.61000000000001</c:v>
                </c:pt>
                <c:pt idx="4">
                  <c:v>162.82</c:v>
                </c:pt>
                <c:pt idx="5">
                  <c:v>160.44</c:v>
                </c:pt>
                <c:pt idx="6">
                  <c:v>153.22</c:v>
                </c:pt>
              </c:numCache>
            </c:numRef>
          </c:val>
          <c:smooth val="0"/>
          <c:extLst>
            <c:ext xmlns:c16="http://schemas.microsoft.com/office/drawing/2014/chart" uri="{C3380CC4-5D6E-409C-BE32-E72D297353CC}">
              <c16:uniqueId val="{00000001-ECE8-4E82-BA94-F0EC6D452649}"/>
            </c:ext>
          </c:extLst>
        </c:ser>
        <c:ser>
          <c:idx val="2"/>
          <c:order val="2"/>
          <c:tx>
            <c:strRef>
              <c:f>専用住宅の規模!$A$24</c:f>
              <c:strCache>
                <c:ptCount val="1"/>
                <c:pt idx="0">
                  <c:v>借家</c:v>
                </c:pt>
              </c:strCache>
            </c:strRef>
          </c:tx>
          <c:spPr>
            <a:ln w="15875">
              <a:solidFill>
                <a:schemeClr val="tx1"/>
              </a:solidFill>
              <a:prstDash val="dash"/>
            </a:ln>
          </c:spPr>
          <c:marker>
            <c:symbol val="triangle"/>
            <c:size val="6"/>
            <c:spPr>
              <a:solidFill>
                <a:schemeClr val="tx1"/>
              </a:solidFill>
              <a:ln>
                <a:solidFill>
                  <a:schemeClr val="accent5"/>
                </a:solidFill>
              </a:ln>
            </c:spPr>
          </c:marker>
          <c:dLbls>
            <c:dLbl>
              <c:idx val="6"/>
              <c:tx>
                <c:rich>
                  <a:bodyPr/>
                  <a:lstStyle/>
                  <a:p>
                    <a:r>
                      <a:rPr lang="en-US" altLang="en-US"/>
                      <a:t>51.40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A4E-42F3-948D-AD4FDCF9A373}"/>
                </c:ext>
              </c:extLst>
            </c:dLbl>
            <c:spPr>
              <a:noFill/>
              <a:ln>
                <a:noFill/>
              </a:ln>
              <a:effectLst/>
            </c:spPr>
            <c:txPr>
              <a:bodyPr rot="0"/>
              <a:lstStyle/>
              <a:p>
                <a:pPr algn="ctr" rtl="0">
                  <a:defRPr sz="7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専用住宅の規模!$B$21:$H$21</c:f>
              <c:strCache>
                <c:ptCount val="7"/>
                <c:pt idx="0">
                  <c:v>昭和63年</c:v>
                </c:pt>
                <c:pt idx="1">
                  <c:v>平成5年</c:v>
                </c:pt>
                <c:pt idx="2">
                  <c:v>10年</c:v>
                </c:pt>
                <c:pt idx="3">
                  <c:v>15年</c:v>
                </c:pt>
                <c:pt idx="4">
                  <c:v>20年</c:v>
                </c:pt>
                <c:pt idx="5">
                  <c:v>25年</c:v>
                </c:pt>
                <c:pt idx="6">
                  <c:v>30年</c:v>
                </c:pt>
              </c:strCache>
            </c:strRef>
          </c:cat>
          <c:val>
            <c:numRef>
              <c:f>専用住宅の規模!$B$24:$H$24</c:f>
              <c:numCache>
                <c:formatCode>General</c:formatCode>
                <c:ptCount val="7"/>
                <c:pt idx="0">
                  <c:v>55.46</c:v>
                </c:pt>
                <c:pt idx="1">
                  <c:v>56.18</c:v>
                </c:pt>
                <c:pt idx="2">
                  <c:v>51.7</c:v>
                </c:pt>
                <c:pt idx="3">
                  <c:v>53.29</c:v>
                </c:pt>
                <c:pt idx="4">
                  <c:v>54.04</c:v>
                </c:pt>
                <c:pt idx="5">
                  <c:v>50.48</c:v>
                </c:pt>
                <c:pt idx="6">
                  <c:v>51.4</c:v>
                </c:pt>
              </c:numCache>
            </c:numRef>
          </c:val>
          <c:smooth val="0"/>
          <c:extLst>
            <c:ext xmlns:c16="http://schemas.microsoft.com/office/drawing/2014/chart" uri="{C3380CC4-5D6E-409C-BE32-E72D297353CC}">
              <c16:uniqueId val="{00000002-ECE8-4E82-BA94-F0EC6D452649}"/>
            </c:ext>
          </c:extLst>
        </c:ser>
        <c:dLbls>
          <c:showLegendKey val="0"/>
          <c:showVal val="0"/>
          <c:showCatName val="0"/>
          <c:showSerName val="0"/>
          <c:showPercent val="0"/>
          <c:showBubbleSize val="0"/>
        </c:dLbls>
        <c:marker val="1"/>
        <c:smooth val="0"/>
        <c:axId val="41558016"/>
        <c:axId val="41559552"/>
      </c:lineChart>
      <c:catAx>
        <c:axId val="41558016"/>
        <c:scaling>
          <c:orientation val="minMax"/>
        </c:scaling>
        <c:delete val="0"/>
        <c:axPos val="b"/>
        <c:numFmt formatCode="General" sourceLinked="1"/>
        <c:majorTickMark val="in"/>
        <c:minorTickMark val="none"/>
        <c:tickLblPos val="nextTo"/>
        <c:spPr>
          <a:ln>
            <a:solidFill>
              <a:schemeClr val="tx1"/>
            </a:solidFill>
          </a:ln>
        </c:spPr>
        <c:txPr>
          <a:bodyPr/>
          <a:lstStyle/>
          <a:p>
            <a:pPr algn="ctr" rtl="0">
              <a:defRPr sz="800"/>
            </a:pPr>
            <a:endParaRPr lang="ja-JP"/>
          </a:p>
        </c:txPr>
        <c:crossAx val="41559552"/>
        <c:crosses val="autoZero"/>
        <c:auto val="1"/>
        <c:lblAlgn val="ctr"/>
        <c:lblOffset val="100"/>
        <c:noMultiLvlLbl val="0"/>
      </c:catAx>
      <c:valAx>
        <c:axId val="41559552"/>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800"/>
            </a:pPr>
            <a:endParaRPr lang="ja-JP"/>
          </a:p>
        </c:txPr>
        <c:crossAx val="41558016"/>
        <c:crosses val="autoZero"/>
        <c:crossBetween val="between"/>
        <c:majorUnit val="30"/>
      </c:valAx>
      <c:spPr>
        <a:ln>
          <a:solidFill>
            <a:schemeClr val="tx1"/>
          </a:solidFill>
        </a:ln>
      </c:spPr>
    </c:plotArea>
    <c:legend>
      <c:legendPos val="t"/>
      <c:layout>
        <c:manualLayout>
          <c:xMode val="edge"/>
          <c:yMode val="edge"/>
          <c:x val="0.29967013805498743"/>
          <c:y val="0.13441497878802885"/>
          <c:w val="0.40065946656783341"/>
          <c:h val="4.8949971234130335E-2"/>
        </c:manualLayout>
      </c:layout>
      <c:overlay val="0"/>
      <c:spPr>
        <a:ln w="3175">
          <a:solidFill>
            <a:schemeClr val="tx1"/>
          </a:solidFill>
        </a:ln>
      </c:spPr>
      <c:txPr>
        <a:bodyPr/>
        <a:lstStyle/>
        <a:p>
          <a:pPr algn="l" rtl="0">
            <a:defRPr sz="7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600"/>
            </a:pPr>
            <a:r>
              <a:rPr lang="ja-JP" sz="600"/>
              <a:t>図９－２　高齢者等のための設備がある住宅の</a:t>
            </a:r>
            <a:endParaRPr lang="en-US" sz="600"/>
          </a:p>
          <a:p>
            <a:pPr algn="ctr" rtl="0">
              <a:defRPr sz="600"/>
            </a:pPr>
            <a:r>
              <a:rPr lang="ja-JP" sz="600"/>
              <a:t>　　　　　　建て方別割合－秋田県（平成30年）</a:t>
            </a:r>
          </a:p>
        </c:rich>
      </c:tx>
      <c:layout>
        <c:manualLayout>
          <c:xMode val="edge"/>
          <c:yMode val="edge"/>
          <c:x val="0.20873951065147633"/>
          <c:y val="1.105379513633014E-2"/>
        </c:manualLayout>
      </c:layout>
      <c:overlay val="0"/>
    </c:title>
    <c:autoTitleDeleted val="0"/>
    <c:plotArea>
      <c:layout>
        <c:manualLayout>
          <c:layoutTarget val="inner"/>
          <c:xMode val="edge"/>
          <c:yMode val="edge"/>
          <c:x val="0.14223108439960241"/>
          <c:y val="0.12407462837795664"/>
          <c:w val="0.81305005453945234"/>
          <c:h val="0.7678453513133997"/>
        </c:manualLayout>
      </c:layout>
      <c:barChart>
        <c:barDir val="bar"/>
        <c:grouping val="clustered"/>
        <c:varyColors val="0"/>
        <c:ser>
          <c:idx val="0"/>
          <c:order val="0"/>
          <c:spPr>
            <a:pattFill prst="ltDnDiag">
              <a:fgClr>
                <a:schemeClr val="accent5"/>
              </a:fgClr>
              <a:bgClr>
                <a:schemeClr val="bg1"/>
              </a:bgClr>
            </a:pattFill>
            <a:ln w="3175">
              <a:solidFill>
                <a:srgbClr xmlns:mc="http://schemas.openxmlformats.org/markup-compatibility/2006" xmlns:a14="http://schemas.microsoft.com/office/drawing/2010/main" val="000000" mc:Ignorable="a14" a14:legacySpreadsheetColorIndex="64"/>
              </a:solidFill>
            </a:ln>
          </c:spPr>
          <c:invertIfNegative val="0"/>
          <c:dPt>
            <c:idx val="3"/>
            <c:invertIfNegative val="0"/>
            <c:bubble3D val="0"/>
            <c:extLst>
              <c:ext xmlns:c16="http://schemas.microsoft.com/office/drawing/2014/chart" uri="{C3380CC4-5D6E-409C-BE32-E72D297353CC}">
                <c16:uniqueId val="{00000000-0C1E-4981-B363-3A719006A931}"/>
              </c:ext>
            </c:extLst>
          </c:dPt>
          <c:dLbls>
            <c:dLbl>
              <c:idx val="3"/>
              <c:layout>
                <c:manualLayout>
                  <c:x val="0"/>
                  <c:y val="1.0079365079365079E-2"/>
                </c:manualLayout>
              </c:layout>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1E-4981-B363-3A719006A931}"/>
                </c:ext>
              </c:extLst>
            </c:dLbl>
            <c:spPr>
              <a:solidFill>
                <a:schemeClr val="bg1"/>
              </a:solidFill>
            </c:spPr>
            <c:txPr>
              <a:bodyPr rot="0"/>
              <a:lstStyle/>
              <a:p>
                <a:pPr algn="ctr" rtl="0">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設備!$B$68:$F$68</c:f>
              <c:strCache>
                <c:ptCount val="5"/>
                <c:pt idx="0">
                  <c:v>その他</c:v>
                </c:pt>
                <c:pt idx="1">
                  <c:v>共同住宅</c:v>
                </c:pt>
                <c:pt idx="2">
                  <c:v>長屋建</c:v>
                </c:pt>
                <c:pt idx="3">
                  <c:v>一戸建</c:v>
                </c:pt>
                <c:pt idx="4">
                  <c:v>総数</c:v>
                </c:pt>
              </c:strCache>
            </c:strRef>
          </c:cat>
          <c:val>
            <c:numRef>
              <c:f>設備!$B$69:$F$69</c:f>
              <c:numCache>
                <c:formatCode>0.0</c:formatCode>
                <c:ptCount val="5"/>
                <c:pt idx="0">
                  <c:v>42.857140000000001</c:v>
                </c:pt>
                <c:pt idx="1">
                  <c:v>25.65982</c:v>
                </c:pt>
                <c:pt idx="2">
                  <c:v>41.379309999999997</c:v>
                </c:pt>
                <c:pt idx="3">
                  <c:v>63.063357000000003</c:v>
                </c:pt>
                <c:pt idx="4">
                  <c:v>55.914538800000003</c:v>
                </c:pt>
              </c:numCache>
            </c:numRef>
          </c:val>
          <c:extLst>
            <c:ext xmlns:c16="http://schemas.microsoft.com/office/drawing/2014/chart" uri="{C3380CC4-5D6E-409C-BE32-E72D297353CC}">
              <c16:uniqueId val="{00000001-0C1E-4981-B363-3A719006A931}"/>
            </c:ext>
          </c:extLst>
        </c:ser>
        <c:dLbls>
          <c:showLegendKey val="0"/>
          <c:showVal val="0"/>
          <c:showCatName val="0"/>
          <c:showSerName val="0"/>
          <c:showPercent val="0"/>
          <c:showBubbleSize val="0"/>
        </c:dLbls>
        <c:gapWidth val="80"/>
        <c:axId val="139538432"/>
        <c:axId val="139539968"/>
      </c:barChart>
      <c:catAx>
        <c:axId val="139538432"/>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700"/>
            </a:pPr>
            <a:endParaRPr lang="ja-JP"/>
          </a:p>
        </c:txPr>
        <c:crossAx val="139539968"/>
        <c:crosses val="autoZero"/>
        <c:auto val="1"/>
        <c:lblAlgn val="ctr"/>
        <c:lblOffset val="100"/>
        <c:noMultiLvlLbl val="0"/>
      </c:catAx>
      <c:valAx>
        <c:axId val="139539968"/>
        <c:scaling>
          <c:orientation val="minMax"/>
          <c:max val="100"/>
        </c:scaling>
        <c:delete val="0"/>
        <c:axPos val="b"/>
        <c:majorGridlines>
          <c:spPr>
            <a:ln w="6350">
              <a:solidFill>
                <a:schemeClr val="tx1"/>
              </a:solidFill>
              <a:prstDash val="sysDash"/>
            </a:ln>
          </c:spPr>
        </c:majorGridlines>
        <c:numFmt formatCode="General\%" sourceLinked="0"/>
        <c:majorTickMark val="none"/>
        <c:minorTickMark val="none"/>
        <c:tickLblPos val="nextTo"/>
        <c:spPr>
          <a:ln>
            <a:solidFill>
              <a:schemeClr val="tx1"/>
            </a:solidFill>
          </a:ln>
        </c:spPr>
        <c:txPr>
          <a:bodyPr/>
          <a:lstStyle/>
          <a:p>
            <a:pPr algn="ctr" rtl="0">
              <a:defRPr sz="700"/>
            </a:pPr>
            <a:endParaRPr lang="ja-JP"/>
          </a:p>
        </c:txPr>
        <c:crossAx val="139538432"/>
        <c:crosses val="autoZero"/>
        <c:crossBetween val="between"/>
        <c:majorUnit val="20"/>
      </c:valAx>
      <c:spPr>
        <a:ln>
          <a:solidFill>
            <a:schemeClr val="tx1"/>
          </a:solidFill>
        </a:ln>
      </c:spPr>
    </c:plotArea>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600"/>
            </a:pPr>
            <a:r>
              <a:rPr lang="ja-JP" sz="600"/>
              <a:t>図９－１　高齢者等のための設備がある住宅の割合－秋田県</a:t>
            </a:r>
            <a:endParaRPr lang="en-US" altLang="ja-JP" sz="600"/>
          </a:p>
          <a:p>
            <a:pPr algn="ctr" rtl="0">
              <a:defRPr sz="600"/>
            </a:pPr>
            <a:r>
              <a:rPr lang="ja-JP" sz="600"/>
              <a:t>（平成</a:t>
            </a:r>
            <a:r>
              <a:rPr lang="en-US" altLang="ja-JP" sz="600"/>
              <a:t>20</a:t>
            </a:r>
            <a:r>
              <a:rPr lang="ja-JP" sz="600"/>
              <a:t>年～30年）</a:t>
            </a:r>
          </a:p>
        </c:rich>
      </c:tx>
      <c:layout>
        <c:manualLayout>
          <c:xMode val="edge"/>
          <c:yMode val="edge"/>
          <c:x val="0.16237126932809487"/>
          <c:y val="1.1545122185876467E-2"/>
        </c:manualLayout>
      </c:layout>
      <c:overlay val="0"/>
    </c:title>
    <c:autoTitleDeleted val="0"/>
    <c:plotArea>
      <c:layout>
        <c:manualLayout>
          <c:layoutTarget val="inner"/>
          <c:xMode val="edge"/>
          <c:yMode val="edge"/>
          <c:x val="0.25152416030588709"/>
          <c:y val="0.1675173378055716"/>
          <c:w val="0.71210815237778879"/>
          <c:h val="0.73802178422136333"/>
        </c:manualLayout>
      </c:layout>
      <c:barChart>
        <c:barDir val="bar"/>
        <c:grouping val="clustered"/>
        <c:varyColors val="0"/>
        <c:ser>
          <c:idx val="2"/>
          <c:order val="0"/>
          <c:tx>
            <c:strRef>
              <c:f>設備!$A$22</c:f>
              <c:strCache>
                <c:ptCount val="1"/>
                <c:pt idx="0">
                  <c:v>平成30年</c:v>
                </c:pt>
              </c:strCache>
            </c:strRef>
          </c:tx>
          <c:spPr>
            <a:pattFill prst="ltVert">
              <a:fgClr>
                <a:schemeClr val="accent5"/>
              </a:fgClr>
              <a:bgClr>
                <a:schemeClr val="bg1"/>
              </a:bgClr>
            </a:pattFill>
            <a:ln>
              <a:solidFill>
                <a:schemeClr val="tx1"/>
              </a:solidFill>
            </a:ln>
          </c:spPr>
          <c:invertIfNegative val="0"/>
          <c:dLbls>
            <c:dLbl>
              <c:idx val="4"/>
              <c:layout>
                <c:manualLayout>
                  <c:x val="0"/>
                  <c:y val="1.32304299889746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F2-4EAC-9873-957CD8EC05FB}"/>
                </c:ext>
              </c:extLst>
            </c:dLbl>
            <c:spPr>
              <a:noFill/>
              <a:ln>
                <a:noFill/>
              </a:ln>
              <a:effectLst/>
            </c:spPr>
            <c:txPr>
              <a:bodyPr rot="0"/>
              <a:lstStyle/>
              <a:p>
                <a:pPr algn="ctr" rtl="0">
                  <a:defRPr sz="800"/>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設備!$B$19:$F$19</c:f>
              <c:strCache>
                <c:ptCount val="5"/>
                <c:pt idx="0">
                  <c:v>道路から玄関まで
車いすで通行可能</c:v>
                </c:pt>
                <c:pt idx="1">
                  <c:v>段差のない屋内</c:v>
                </c:pt>
                <c:pt idx="2">
                  <c:v>廊下などが車いすなどで
通行可能な幅</c:v>
                </c:pt>
                <c:pt idx="3">
                  <c:v>またぎやすい
高さの浴槽</c:v>
                </c:pt>
                <c:pt idx="4">
                  <c:v>手すりがある</c:v>
                </c:pt>
              </c:strCache>
            </c:strRef>
          </c:cat>
          <c:val>
            <c:numRef>
              <c:f>設備!$B$22:$F$22</c:f>
              <c:numCache>
                <c:formatCode>0.0</c:formatCode>
                <c:ptCount val="5"/>
                <c:pt idx="0">
                  <c:v>8.9369460000000007</c:v>
                </c:pt>
                <c:pt idx="1">
                  <c:v>19.254819999999999</c:v>
                </c:pt>
                <c:pt idx="2">
                  <c:v>17.404899</c:v>
                </c:pt>
                <c:pt idx="3">
                  <c:v>20.505469999999999</c:v>
                </c:pt>
                <c:pt idx="4">
                  <c:v>49.348619999999997</c:v>
                </c:pt>
              </c:numCache>
            </c:numRef>
          </c:val>
          <c:extLst>
            <c:ext xmlns:c16="http://schemas.microsoft.com/office/drawing/2014/chart" uri="{C3380CC4-5D6E-409C-BE32-E72D297353CC}">
              <c16:uniqueId val="{00000001-1AF2-4EAC-9873-957CD8EC05FB}"/>
            </c:ext>
          </c:extLst>
        </c:ser>
        <c:ser>
          <c:idx val="1"/>
          <c:order val="1"/>
          <c:tx>
            <c:strRef>
              <c:f>設備!$A$21</c:f>
              <c:strCache>
                <c:ptCount val="1"/>
                <c:pt idx="0">
                  <c:v>平成25年</c:v>
                </c:pt>
              </c:strCache>
            </c:strRef>
          </c:tx>
          <c:spPr>
            <a:pattFill prst="ltUpDiag">
              <a:fgClr>
                <a:schemeClr val="accent5"/>
              </a:fgClr>
              <a:bgClr>
                <a:schemeClr val="bg1"/>
              </a:bgClr>
            </a:pattFill>
            <a:ln w="3175">
              <a:solidFill>
                <a:srgbClr xmlns:mc="http://schemas.openxmlformats.org/markup-compatibility/2006" xmlns:a14="http://schemas.microsoft.com/office/drawing/2010/main" val="000000" mc:Ignorable="a14" a14:legacySpreadsheetColorIndex="64"/>
              </a:solidFill>
            </a:ln>
          </c:spPr>
          <c:invertIfNegative val="0"/>
          <c:dPt>
            <c:idx val="0"/>
            <c:invertIfNegative val="0"/>
            <c:bubble3D val="0"/>
            <c:extLst>
              <c:ext xmlns:c16="http://schemas.microsoft.com/office/drawing/2014/chart" uri="{C3380CC4-5D6E-409C-BE32-E72D297353CC}">
                <c16:uniqueId val="{00000002-1AF2-4EAC-9873-957CD8EC05FB}"/>
              </c:ext>
            </c:extLst>
          </c:dPt>
          <c:dPt>
            <c:idx val="1"/>
            <c:invertIfNegative val="0"/>
            <c:bubble3D val="0"/>
            <c:extLst>
              <c:ext xmlns:c16="http://schemas.microsoft.com/office/drawing/2014/chart" uri="{C3380CC4-5D6E-409C-BE32-E72D297353CC}">
                <c16:uniqueId val="{00000003-1AF2-4EAC-9873-957CD8EC05FB}"/>
              </c:ext>
            </c:extLst>
          </c:dPt>
          <c:dPt>
            <c:idx val="2"/>
            <c:invertIfNegative val="0"/>
            <c:bubble3D val="0"/>
            <c:extLst>
              <c:ext xmlns:c16="http://schemas.microsoft.com/office/drawing/2014/chart" uri="{C3380CC4-5D6E-409C-BE32-E72D297353CC}">
                <c16:uniqueId val="{00000004-1AF2-4EAC-9873-957CD8EC05FB}"/>
              </c:ext>
            </c:extLst>
          </c:dPt>
          <c:dPt>
            <c:idx val="3"/>
            <c:invertIfNegative val="0"/>
            <c:bubble3D val="0"/>
            <c:extLst>
              <c:ext xmlns:c16="http://schemas.microsoft.com/office/drawing/2014/chart" uri="{C3380CC4-5D6E-409C-BE32-E72D297353CC}">
                <c16:uniqueId val="{00000005-1AF2-4EAC-9873-957CD8EC05FB}"/>
              </c:ext>
            </c:extLst>
          </c:dPt>
          <c:dPt>
            <c:idx val="4"/>
            <c:invertIfNegative val="0"/>
            <c:bubble3D val="0"/>
            <c:extLst>
              <c:ext xmlns:c16="http://schemas.microsoft.com/office/drawing/2014/chart" uri="{C3380CC4-5D6E-409C-BE32-E72D297353CC}">
                <c16:uniqueId val="{00000006-1AF2-4EAC-9873-957CD8EC05FB}"/>
              </c:ext>
            </c:extLst>
          </c:dPt>
          <c:dLbls>
            <c:dLbl>
              <c:idx val="0"/>
              <c:layout>
                <c:manualLayout>
                  <c:x val="0"/>
                  <c:y val="4.41083784041879E-3"/>
                </c:manualLayout>
              </c:layout>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F2-4EAC-9873-957CD8EC05FB}"/>
                </c:ext>
              </c:extLst>
            </c:dLbl>
            <c:dLbl>
              <c:idx val="1"/>
              <c:layout>
                <c:manualLayout>
                  <c:x val="6.0396768492422623E-3"/>
                  <c:y val="-2.3703652258462177E-3"/>
                </c:manualLayout>
              </c:layout>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1AF2-4EAC-9873-957CD8EC05FB}"/>
                </c:ext>
              </c:extLst>
            </c:dLbl>
            <c:dLbl>
              <c:idx val="2"/>
              <c:layout>
                <c:manualLayout>
                  <c:x val="-3.6910589473739277E-3"/>
                  <c:y val="4.4115323511793661E-3"/>
                </c:manualLayout>
              </c:layout>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1AF2-4EAC-9873-957CD8EC05FB}"/>
                </c:ext>
              </c:extLst>
            </c:dLbl>
            <c:dLbl>
              <c:idx val="3"/>
              <c:layout>
                <c:manualLayout>
                  <c:x val="-1.7415217283991247E-2"/>
                  <c:y val="4.4106824537589739E-3"/>
                </c:manualLayout>
              </c:layout>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1AF2-4EAC-9873-957CD8EC05FB}"/>
                </c:ext>
              </c:extLst>
            </c:dLbl>
            <c:dLbl>
              <c:idx val="4"/>
              <c:layout>
                <c:manualLayout>
                  <c:x val="1.4819149402969521E-2"/>
                  <c:y val="-2.3962745514906699E-3"/>
                </c:manualLayout>
              </c:layout>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F2-4EAC-9873-957CD8EC05FB}"/>
                </c:ext>
              </c:extLst>
            </c:dLbl>
            <c:spPr>
              <a:no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設備!$B$19:$F$19</c:f>
              <c:strCache>
                <c:ptCount val="5"/>
                <c:pt idx="0">
                  <c:v>道路から玄関まで
車いすで通行可能</c:v>
                </c:pt>
                <c:pt idx="1">
                  <c:v>段差のない屋内</c:v>
                </c:pt>
                <c:pt idx="2">
                  <c:v>廊下などが車いすなどで
通行可能な幅</c:v>
                </c:pt>
                <c:pt idx="3">
                  <c:v>またぎやすい
高さの浴槽</c:v>
                </c:pt>
                <c:pt idx="4">
                  <c:v>手すりがある</c:v>
                </c:pt>
              </c:strCache>
            </c:strRef>
          </c:cat>
          <c:val>
            <c:numRef>
              <c:f>設備!$B$21:$F$21</c:f>
              <c:numCache>
                <c:formatCode>0.0</c:formatCode>
                <c:ptCount val="5"/>
                <c:pt idx="0">
                  <c:v>9.948586118251928</c:v>
                </c:pt>
                <c:pt idx="1">
                  <c:v>19.897172236503856</c:v>
                </c:pt>
                <c:pt idx="2">
                  <c:v>19.228791773778919</c:v>
                </c:pt>
                <c:pt idx="3">
                  <c:v>23.264781491002569</c:v>
                </c:pt>
                <c:pt idx="4">
                  <c:v>46.940874035989715</c:v>
                </c:pt>
              </c:numCache>
            </c:numRef>
          </c:val>
          <c:extLst>
            <c:ext xmlns:c16="http://schemas.microsoft.com/office/drawing/2014/chart" uri="{C3380CC4-5D6E-409C-BE32-E72D297353CC}">
              <c16:uniqueId val="{00000007-1AF2-4EAC-9873-957CD8EC05FB}"/>
            </c:ext>
          </c:extLst>
        </c:ser>
        <c:ser>
          <c:idx val="0"/>
          <c:order val="2"/>
          <c:tx>
            <c:strRef>
              <c:f>設備!$A$20</c:f>
              <c:strCache>
                <c:ptCount val="1"/>
                <c:pt idx="0">
                  <c:v>平成20年</c:v>
                </c:pt>
              </c:strCache>
            </c:strRef>
          </c:tx>
          <c:spPr>
            <a:pattFill prst="pct20">
              <a:fgClr>
                <a:schemeClr val="accent5"/>
              </a:fgClr>
              <a:bgClr>
                <a:schemeClr val="bg1"/>
              </a:bgClr>
            </a:pattFill>
            <a:ln w="3175">
              <a:solidFill>
                <a:srgbClr xmlns:mc="http://schemas.openxmlformats.org/markup-compatibility/2006" xmlns:a14="http://schemas.microsoft.com/office/drawing/2010/main" val="000000" mc:Ignorable="a14" a14:legacySpreadsheetColorIndex="64"/>
              </a:solidFill>
            </a:ln>
          </c:spPr>
          <c:invertIfNegative val="0"/>
          <c:dPt>
            <c:idx val="4"/>
            <c:invertIfNegative val="0"/>
            <c:bubble3D val="0"/>
            <c:extLst>
              <c:ext xmlns:c16="http://schemas.microsoft.com/office/drawing/2014/chart" uri="{C3380CC4-5D6E-409C-BE32-E72D297353CC}">
                <c16:uniqueId val="{00000008-1AF2-4EAC-9873-957CD8EC05FB}"/>
              </c:ext>
            </c:extLst>
          </c:dPt>
          <c:dLbls>
            <c:dLbl>
              <c:idx val="3"/>
              <c:layout>
                <c:manualLayout>
                  <c:x val="1.306089875438105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E1-4C72-843C-98B7F4F19211}"/>
                </c:ext>
              </c:extLst>
            </c:dLbl>
            <c:dLbl>
              <c:idx val="4"/>
              <c:layout>
                <c:manualLayout>
                  <c:x val="-1.7773449283947366E-2"/>
                  <c:y val="-2.9191947274600314E-3"/>
                </c:manualLayout>
              </c:layout>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F2-4EAC-9873-957CD8EC05FB}"/>
                </c:ext>
              </c:extLst>
            </c:dLbl>
            <c:spPr>
              <a:no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設備!$B$19:$F$19</c:f>
              <c:strCache>
                <c:ptCount val="5"/>
                <c:pt idx="0">
                  <c:v>道路から玄関まで
車いすで通行可能</c:v>
                </c:pt>
                <c:pt idx="1">
                  <c:v>段差のない屋内</c:v>
                </c:pt>
                <c:pt idx="2">
                  <c:v>廊下などが車いすなどで
通行可能な幅</c:v>
                </c:pt>
                <c:pt idx="3">
                  <c:v>またぎやすい
高さの浴槽</c:v>
                </c:pt>
                <c:pt idx="4">
                  <c:v>手すりがある</c:v>
                </c:pt>
              </c:strCache>
            </c:strRef>
          </c:cat>
          <c:val>
            <c:numRef>
              <c:f>設備!$B$20:$F$20</c:f>
              <c:numCache>
                <c:formatCode>0.0</c:formatCode>
                <c:ptCount val="5"/>
                <c:pt idx="0">
                  <c:v>10.754667</c:v>
                </c:pt>
                <c:pt idx="1">
                  <c:v>18.9587</c:v>
                </c:pt>
                <c:pt idx="2">
                  <c:v>18.879829999999998</c:v>
                </c:pt>
                <c:pt idx="3">
                  <c:v>27.031289999999998</c:v>
                </c:pt>
                <c:pt idx="4">
                  <c:v>42.676834078359185</c:v>
                </c:pt>
              </c:numCache>
            </c:numRef>
          </c:val>
          <c:extLst>
            <c:ext xmlns:c16="http://schemas.microsoft.com/office/drawing/2014/chart" uri="{C3380CC4-5D6E-409C-BE32-E72D297353CC}">
              <c16:uniqueId val="{00000009-1AF2-4EAC-9873-957CD8EC05FB}"/>
            </c:ext>
          </c:extLst>
        </c:ser>
        <c:dLbls>
          <c:showLegendKey val="0"/>
          <c:showVal val="0"/>
          <c:showCatName val="0"/>
          <c:showSerName val="0"/>
          <c:showPercent val="0"/>
          <c:showBubbleSize val="0"/>
        </c:dLbls>
        <c:gapWidth val="80"/>
        <c:axId val="42014592"/>
        <c:axId val="42016128"/>
      </c:barChart>
      <c:catAx>
        <c:axId val="42014592"/>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600"/>
            </a:pPr>
            <a:endParaRPr lang="ja-JP"/>
          </a:p>
        </c:txPr>
        <c:crossAx val="42016128"/>
        <c:crosses val="autoZero"/>
        <c:auto val="1"/>
        <c:lblAlgn val="ctr"/>
        <c:lblOffset val="100"/>
        <c:noMultiLvlLbl val="0"/>
      </c:catAx>
      <c:valAx>
        <c:axId val="42016128"/>
        <c:scaling>
          <c:orientation val="minMax"/>
        </c:scaling>
        <c:delete val="0"/>
        <c:axPos val="b"/>
        <c:majorGridlines>
          <c:spPr>
            <a:ln w="6350">
              <a:solidFill>
                <a:schemeClr val="tx1"/>
              </a:solidFill>
              <a:prstDash val="sysDash"/>
            </a:ln>
          </c:spPr>
        </c:majorGridlines>
        <c:numFmt formatCode="General\%" sourceLinked="0"/>
        <c:majorTickMark val="none"/>
        <c:minorTickMark val="none"/>
        <c:tickLblPos val="nextTo"/>
        <c:spPr>
          <a:ln>
            <a:solidFill>
              <a:schemeClr val="tx1"/>
            </a:solidFill>
          </a:ln>
        </c:spPr>
        <c:txPr>
          <a:bodyPr/>
          <a:lstStyle/>
          <a:p>
            <a:pPr algn="ctr" rtl="0">
              <a:defRPr sz="800"/>
            </a:pPr>
            <a:endParaRPr lang="ja-JP"/>
          </a:p>
        </c:txPr>
        <c:crossAx val="42014592"/>
        <c:crosses val="autoZero"/>
        <c:crossBetween val="between"/>
        <c:majorUnit val="10"/>
      </c:valAx>
      <c:spPr>
        <a:ln>
          <a:solidFill>
            <a:schemeClr val="tx1"/>
          </a:solidFill>
        </a:ln>
      </c:spPr>
    </c:plotArea>
    <c:legend>
      <c:legendPos val="t"/>
      <c:layout>
        <c:manualLayout>
          <c:xMode val="edge"/>
          <c:yMode val="edge"/>
          <c:x val="0.2952498632631847"/>
          <c:y val="9.92880507985376E-2"/>
          <c:w val="0.44992288285057486"/>
          <c:h val="5.3594100719947906E-2"/>
        </c:manualLayout>
      </c:layout>
      <c:overlay val="0"/>
      <c:spPr>
        <a:ln w="3175">
          <a:solidFill>
            <a:schemeClr val="tx1"/>
          </a:solidFill>
        </a:ln>
      </c:spPr>
      <c:txPr>
        <a:bodyPr/>
        <a:lstStyle/>
        <a:p>
          <a:pPr algn="l" rtl="0">
            <a:defRPr sz="6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図９－３　省エネルギー設備等のある住宅数の割合－秋田県（平成</a:t>
            </a:r>
            <a:r>
              <a:rPr lang="en-US" altLang="ja-JP" sz="900"/>
              <a:t>25</a:t>
            </a:r>
            <a:r>
              <a:rPr lang="ja-JP" sz="900"/>
              <a:t>年、30年）</a:t>
            </a:r>
          </a:p>
        </c:rich>
      </c:tx>
      <c:layout>
        <c:manualLayout>
          <c:xMode val="edge"/>
          <c:yMode val="edge"/>
          <c:x val="0.11603512200023904"/>
          <c:y val="1.168442360228753E-2"/>
        </c:manualLayout>
      </c:layout>
      <c:overlay val="0"/>
    </c:title>
    <c:autoTitleDeleted val="0"/>
    <c:plotArea>
      <c:layout>
        <c:manualLayout>
          <c:layoutTarget val="inner"/>
          <c:xMode val="edge"/>
          <c:yMode val="edge"/>
          <c:x val="0.15722488455257499"/>
          <c:y val="0.21433296582138919"/>
          <c:w val="0.80713983192822369"/>
          <c:h val="0.69672729166847525"/>
        </c:manualLayout>
      </c:layout>
      <c:barChart>
        <c:barDir val="bar"/>
        <c:grouping val="clustered"/>
        <c:varyColors val="0"/>
        <c:ser>
          <c:idx val="0"/>
          <c:order val="0"/>
          <c:tx>
            <c:strRef>
              <c:f>省エネ設備!$A$29</c:f>
              <c:strCache>
                <c:ptCount val="1"/>
                <c:pt idx="0">
                  <c:v>平成30年</c:v>
                </c:pt>
              </c:strCache>
            </c:strRef>
          </c:tx>
          <c:spPr>
            <a:pattFill prst="pct20">
              <a:fgClr>
                <a:schemeClr val="accent5"/>
              </a:fgClr>
              <a:bgClr>
                <a:schemeClr val="bg1"/>
              </a:bgClr>
            </a:pattFill>
            <a:ln w="3175">
              <a:solidFill>
                <a:srgbClr xmlns:mc="http://schemas.openxmlformats.org/markup-compatibility/2006" xmlns:a14="http://schemas.microsoft.com/office/drawing/2010/main" val="000000" mc:Ignorable="a14" a14:legacySpreadsheetColorIndex="64"/>
              </a:solidFill>
            </a:ln>
          </c:spPr>
          <c:invertIfNegative val="0"/>
          <c:dLbls>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省エネ設備!$B$28:$D$28</c:f>
              <c:strCache>
                <c:ptCount val="3"/>
                <c:pt idx="0">
                  <c:v>二重サッシ又は
複層ガラスの窓あり</c:v>
                </c:pt>
                <c:pt idx="1">
                  <c:v>太陽光を利用した
発電機器等あり</c:v>
                </c:pt>
                <c:pt idx="2">
                  <c:v>太陽光を利用した
温水機器等あり</c:v>
                </c:pt>
              </c:strCache>
            </c:strRef>
          </c:cat>
          <c:val>
            <c:numRef>
              <c:f>省エネ設備!$B$29:$D$29</c:f>
              <c:numCache>
                <c:formatCode>0.0</c:formatCode>
                <c:ptCount val="3"/>
                <c:pt idx="0">
                  <c:v>33.090150000000001</c:v>
                </c:pt>
                <c:pt idx="1">
                  <c:v>1.7457</c:v>
                </c:pt>
                <c:pt idx="2">
                  <c:v>1.250651</c:v>
                </c:pt>
              </c:numCache>
            </c:numRef>
          </c:val>
          <c:extLst>
            <c:ext xmlns:c16="http://schemas.microsoft.com/office/drawing/2014/chart" uri="{C3380CC4-5D6E-409C-BE32-E72D297353CC}">
              <c16:uniqueId val="{00000000-DB50-41ED-B315-FF4673F8C8A5}"/>
            </c:ext>
          </c:extLst>
        </c:ser>
        <c:ser>
          <c:idx val="1"/>
          <c:order val="1"/>
          <c:tx>
            <c:strRef>
              <c:f>省エネ設備!$A$30</c:f>
              <c:strCache>
                <c:ptCount val="1"/>
                <c:pt idx="0">
                  <c:v>平成25年</c:v>
                </c:pt>
              </c:strCache>
            </c:strRef>
          </c:tx>
          <c:spPr>
            <a:pattFill prst="ltUpDiag">
              <a:fgClr>
                <a:schemeClr val="accent5"/>
              </a:fgClr>
              <a:bgClr>
                <a:schemeClr val="bg1"/>
              </a:bgClr>
            </a:pattFill>
            <a:ln w="3175">
              <a:solidFill>
                <a:srgbClr xmlns:mc="http://schemas.openxmlformats.org/markup-compatibility/2006" xmlns:a14="http://schemas.microsoft.com/office/drawing/2010/main" val="000000" mc:Ignorable="a14" a14:legacySpreadsheetColorIndex="64"/>
              </a:solidFill>
            </a:ln>
          </c:spPr>
          <c:invertIfNegative val="0"/>
          <c:dPt>
            <c:idx val="0"/>
            <c:invertIfNegative val="0"/>
            <c:bubble3D val="0"/>
            <c:extLst>
              <c:ext xmlns:c16="http://schemas.microsoft.com/office/drawing/2014/chart" uri="{C3380CC4-5D6E-409C-BE32-E72D297353CC}">
                <c16:uniqueId val="{00000001-DB50-41ED-B315-FF4673F8C8A5}"/>
              </c:ext>
            </c:extLst>
          </c:dPt>
          <c:dPt>
            <c:idx val="1"/>
            <c:invertIfNegative val="0"/>
            <c:bubble3D val="0"/>
            <c:extLst>
              <c:ext xmlns:c16="http://schemas.microsoft.com/office/drawing/2014/chart" uri="{C3380CC4-5D6E-409C-BE32-E72D297353CC}">
                <c16:uniqueId val="{00000002-DB50-41ED-B315-FF4673F8C8A5}"/>
              </c:ext>
            </c:extLst>
          </c:dPt>
          <c:dPt>
            <c:idx val="2"/>
            <c:invertIfNegative val="0"/>
            <c:bubble3D val="0"/>
            <c:extLst>
              <c:ext xmlns:c16="http://schemas.microsoft.com/office/drawing/2014/chart" uri="{C3380CC4-5D6E-409C-BE32-E72D297353CC}">
                <c16:uniqueId val="{00000003-DB50-41ED-B315-FF4673F8C8A5}"/>
              </c:ext>
            </c:extLst>
          </c:dPt>
          <c:dPt>
            <c:idx val="3"/>
            <c:invertIfNegative val="0"/>
            <c:bubble3D val="0"/>
            <c:extLst>
              <c:ext xmlns:c16="http://schemas.microsoft.com/office/drawing/2014/chart" uri="{C3380CC4-5D6E-409C-BE32-E72D297353CC}">
                <c16:uniqueId val="{00000004-DB50-41ED-B315-FF4673F8C8A5}"/>
              </c:ext>
            </c:extLst>
          </c:dPt>
          <c:dLbls>
            <c:dLbl>
              <c:idx val="0"/>
              <c:layout>
                <c:manualLayout>
                  <c:x val="-7.0381804804420375E-3"/>
                  <c:y val="-8.8195299396445596E-3"/>
                </c:manualLayout>
              </c:layout>
              <c:spPr/>
              <c:txPr>
                <a:bodyPr/>
                <a:lstStyle/>
                <a:p>
                  <a:pPr>
                    <a:defRPr sz="8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50-41ED-B315-FF4673F8C8A5}"/>
                </c:ext>
              </c:extLst>
            </c:dLbl>
            <c:dLbl>
              <c:idx val="1"/>
              <c:layout>
                <c:manualLayout>
                  <c:x val="0"/>
                  <c:y val="-8.819444444444444E-3"/>
                </c:manualLayout>
              </c:layout>
              <c:spPr/>
              <c:txPr>
                <a:bodyPr/>
                <a:lstStyle/>
                <a:p>
                  <a:pPr>
                    <a:defRPr sz="8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50-41ED-B315-FF4673F8C8A5}"/>
                </c:ext>
              </c:extLst>
            </c:dLbl>
            <c:dLbl>
              <c:idx val="2"/>
              <c:layout>
                <c:manualLayout>
                  <c:x val="0"/>
                  <c:y val="-1.3229166666666667E-2"/>
                </c:manualLayout>
              </c:layout>
              <c:spPr/>
              <c:txPr>
                <a:bodyPr/>
                <a:lstStyle/>
                <a:p>
                  <a:pPr>
                    <a:defRPr sz="8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50-41ED-B315-FF4673F8C8A5}"/>
                </c:ext>
              </c:extLst>
            </c:dLbl>
            <c:dLbl>
              <c:idx val="3"/>
              <c:layout>
                <c:manualLayout>
                  <c:x val="0"/>
                  <c:y val="-4.409722222222222E-3"/>
                </c:manualLayout>
              </c:layout>
              <c:spPr/>
              <c:txPr>
                <a:bodyPr/>
                <a:lstStyle/>
                <a:p>
                  <a:pPr>
                    <a:defRPr sz="8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50-41ED-B315-FF4673F8C8A5}"/>
                </c:ext>
              </c:extLst>
            </c:dLbl>
            <c:spPr>
              <a:noFill/>
              <a:ln>
                <a:noFill/>
              </a:ln>
              <a:effectLst/>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省エネ設備!$B$28:$D$28</c:f>
              <c:strCache>
                <c:ptCount val="3"/>
                <c:pt idx="0">
                  <c:v>二重サッシ又は
複層ガラスの窓あり</c:v>
                </c:pt>
                <c:pt idx="1">
                  <c:v>太陽光を利用した
発電機器等あり</c:v>
                </c:pt>
                <c:pt idx="2">
                  <c:v>太陽光を利用した
温水機器等あり</c:v>
                </c:pt>
              </c:strCache>
            </c:strRef>
          </c:cat>
          <c:val>
            <c:numRef>
              <c:f>省エネ設備!$B$30:$D$30</c:f>
              <c:numCache>
                <c:formatCode>0.0</c:formatCode>
                <c:ptCount val="3"/>
                <c:pt idx="0">
                  <c:v>32.827763496143959</c:v>
                </c:pt>
                <c:pt idx="1">
                  <c:v>1.1825192802056554</c:v>
                </c:pt>
                <c:pt idx="2">
                  <c:v>1.2082262210796915</c:v>
                </c:pt>
              </c:numCache>
            </c:numRef>
          </c:val>
          <c:extLst>
            <c:ext xmlns:c16="http://schemas.microsoft.com/office/drawing/2014/chart" uri="{C3380CC4-5D6E-409C-BE32-E72D297353CC}">
              <c16:uniqueId val="{00000005-DB50-41ED-B315-FF4673F8C8A5}"/>
            </c:ext>
          </c:extLst>
        </c:ser>
        <c:dLbls>
          <c:showLegendKey val="0"/>
          <c:showVal val="0"/>
          <c:showCatName val="0"/>
          <c:showSerName val="0"/>
          <c:showPercent val="0"/>
          <c:showBubbleSize val="0"/>
        </c:dLbls>
        <c:gapWidth val="80"/>
        <c:axId val="42064512"/>
        <c:axId val="41746816"/>
      </c:barChart>
      <c:catAx>
        <c:axId val="42064512"/>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700"/>
            </a:pPr>
            <a:endParaRPr lang="ja-JP"/>
          </a:p>
        </c:txPr>
        <c:crossAx val="41746816"/>
        <c:crosses val="autoZero"/>
        <c:auto val="1"/>
        <c:lblAlgn val="ctr"/>
        <c:lblOffset val="100"/>
        <c:noMultiLvlLbl val="0"/>
      </c:catAx>
      <c:valAx>
        <c:axId val="41746816"/>
        <c:scaling>
          <c:orientation val="minMax"/>
        </c:scaling>
        <c:delete val="0"/>
        <c:axPos val="b"/>
        <c:majorGridlines>
          <c:spPr>
            <a:ln w="6350">
              <a:solidFill>
                <a:schemeClr val="tx1"/>
              </a:solidFill>
              <a:prstDash val="sysDash"/>
            </a:ln>
          </c:spPr>
        </c:majorGridlines>
        <c:numFmt formatCode="General\%" sourceLinked="0"/>
        <c:majorTickMark val="none"/>
        <c:minorTickMark val="none"/>
        <c:tickLblPos val="nextTo"/>
        <c:spPr>
          <a:ln>
            <a:solidFill>
              <a:schemeClr val="tx1"/>
            </a:solidFill>
          </a:ln>
        </c:spPr>
        <c:txPr>
          <a:bodyPr/>
          <a:lstStyle/>
          <a:p>
            <a:pPr algn="ctr" rtl="0">
              <a:defRPr sz="800"/>
            </a:pPr>
            <a:endParaRPr lang="ja-JP"/>
          </a:p>
        </c:txPr>
        <c:crossAx val="42064512"/>
        <c:crosses val="autoZero"/>
        <c:crossBetween val="between"/>
        <c:majorUnit val="5"/>
      </c:valAx>
      <c:spPr>
        <a:ln>
          <a:solidFill>
            <a:schemeClr val="tx1"/>
          </a:solidFill>
        </a:ln>
      </c:spPr>
    </c:plotArea>
    <c:legend>
      <c:legendPos val="t"/>
      <c:layout>
        <c:manualLayout>
          <c:xMode val="edge"/>
          <c:yMode val="edge"/>
          <c:x val="0.39724572377104311"/>
          <c:y val="0.11499003972621311"/>
          <c:w val="0.24304545344550532"/>
          <c:h val="7.5284505398307555E-2"/>
        </c:manualLayout>
      </c:layout>
      <c:overlay val="0"/>
      <c:spPr>
        <a:ln w="3175">
          <a:solidFill>
            <a:schemeClr val="tx1"/>
          </a:solidFill>
        </a:ln>
      </c:spPr>
      <c:txPr>
        <a:bodyPr/>
        <a:lstStyle/>
        <a:p>
          <a:pPr algn="l" rtl="0">
            <a:defRPr sz="7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700"/>
            </a:pPr>
            <a:r>
              <a:rPr lang="ja-JP" sz="700"/>
              <a:t>図９－</a:t>
            </a:r>
            <a:r>
              <a:rPr lang="ja-JP" altLang="en-US" sz="700"/>
              <a:t>４</a:t>
            </a:r>
            <a:r>
              <a:rPr lang="ja-JP" sz="700"/>
              <a:t>　エレベーターの有無別共同住宅割合</a:t>
            </a:r>
            <a:endParaRPr lang="en-US" sz="700"/>
          </a:p>
          <a:p>
            <a:pPr algn="ctr" rtl="0">
              <a:defRPr sz="700"/>
            </a:pPr>
            <a:r>
              <a:rPr lang="ja-JP" sz="700"/>
              <a:t>－全国、秋田県（平成30年）</a:t>
            </a:r>
          </a:p>
        </c:rich>
      </c:tx>
      <c:layout>
        <c:manualLayout>
          <c:xMode val="edge"/>
          <c:yMode val="edge"/>
          <c:x val="0.1444541654515408"/>
          <c:y val="2.8228652081863093E-2"/>
        </c:manualLayout>
      </c:layout>
      <c:overlay val="0"/>
    </c:title>
    <c:autoTitleDeleted val="0"/>
    <c:plotArea>
      <c:layout>
        <c:manualLayout>
          <c:layoutTarget val="inner"/>
          <c:xMode val="edge"/>
          <c:yMode val="edge"/>
          <c:x val="0.12856666666666666"/>
          <c:y val="0.2027329100522568"/>
          <c:w val="0.82850870370370366"/>
          <c:h val="0.67644863678594469"/>
        </c:manualLayout>
      </c:layout>
      <c:barChart>
        <c:barDir val="bar"/>
        <c:grouping val="percentStacked"/>
        <c:varyColors val="0"/>
        <c:ser>
          <c:idx val="0"/>
          <c:order val="0"/>
          <c:tx>
            <c:strRef>
              <c:f>省エネ設備!$R$4</c:f>
              <c:strCache>
                <c:ptCount val="1"/>
                <c:pt idx="0">
                  <c:v>エレベーター
あり</c:v>
                </c:pt>
              </c:strCache>
            </c:strRef>
          </c:tx>
          <c:spPr>
            <a:pattFill prst="ltDnDiag">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0-C63F-4CDE-84FE-C33CDE874592}"/>
              </c:ext>
            </c:extLst>
          </c:dPt>
          <c:dLbls>
            <c:dLbl>
              <c:idx val="0"/>
              <c:layout>
                <c:manualLayout>
                  <c:x val="4.3204475983711913E-6"/>
                  <c:y val="0"/>
                </c:manualLayout>
              </c:layout>
              <c:numFmt formatCode="#,##0.0_);[Red]\(#,##0.0\)" sourceLinked="0"/>
              <c:spPr>
                <a:solidFill>
                  <a:schemeClr val="bg1"/>
                </a:solidFill>
              </c:spPr>
              <c:txPr>
                <a:bodyPr/>
                <a:lstStyle/>
                <a:p>
                  <a:pPr>
                    <a:defRPr sz="600"/>
                  </a:pPr>
                  <a:endParaRPr lang="ja-JP"/>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C63F-4CDE-84FE-C33CDE874592}"/>
                </c:ext>
              </c:extLst>
            </c:dLbl>
            <c:numFmt formatCode="#,##0.0_);[Red]\(#,##0.0\)" sourceLinked="0"/>
            <c:spPr>
              <a:solidFill>
                <a:schemeClr val="bg1"/>
              </a:solidFill>
            </c:spPr>
            <c:txPr>
              <a:bodyPr rot="0"/>
              <a:lstStyle/>
              <a:p>
                <a:pPr algn="ctr" rtl="0">
                  <a:defRPr sz="600"/>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省エネ設備!$Q$5:$Q$6</c:f>
              <c:strCache>
                <c:ptCount val="2"/>
                <c:pt idx="0">
                  <c:v>秋田県</c:v>
                </c:pt>
                <c:pt idx="1">
                  <c:v>全　国</c:v>
                </c:pt>
              </c:strCache>
            </c:strRef>
          </c:cat>
          <c:val>
            <c:numRef>
              <c:f>省エネ設備!$R$5:$R$6</c:f>
              <c:numCache>
                <c:formatCode>0.0</c:formatCode>
                <c:ptCount val="2"/>
                <c:pt idx="0">
                  <c:v>14.076246334310852</c:v>
                </c:pt>
                <c:pt idx="1">
                  <c:v>45.631982597301388</c:v>
                </c:pt>
              </c:numCache>
            </c:numRef>
          </c:val>
          <c:extLst>
            <c:ext xmlns:c16="http://schemas.microsoft.com/office/drawing/2014/chart" uri="{C3380CC4-5D6E-409C-BE32-E72D297353CC}">
              <c16:uniqueId val="{00000001-C63F-4CDE-84FE-C33CDE874592}"/>
            </c:ext>
          </c:extLst>
        </c:ser>
        <c:ser>
          <c:idx val="1"/>
          <c:order val="1"/>
          <c:tx>
            <c:strRef>
              <c:f>省エネ設備!$S$4</c:f>
              <c:strCache>
                <c:ptCount val="1"/>
                <c:pt idx="0">
                  <c:v>エレベーター
なし</c:v>
                </c:pt>
              </c:strCache>
            </c:strRef>
          </c:tx>
          <c:spPr>
            <a:pattFill prst="pct20">
              <a:fgClr>
                <a:schemeClr val="accent5"/>
              </a:fgClr>
              <a:bgClr>
                <a:schemeClr val="bg1"/>
              </a:bgClr>
            </a:pattFill>
            <a:ln w="3175">
              <a:solidFill>
                <a:schemeClr val="tx1">
                  <a:shade val="95000"/>
                  <a:satMod val="105000"/>
                </a:schemeClr>
              </a:solidFill>
            </a:ln>
          </c:spPr>
          <c:invertIfNegative val="0"/>
          <c:dLbls>
            <c:dLbl>
              <c:idx val="0"/>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C63F-4CDE-84FE-C33CDE874592}"/>
                </c:ext>
              </c:extLst>
            </c:dLbl>
            <c:numFmt formatCode="#,##0.0_);[Red]\(#,##0.0\)" sourceLinked="0"/>
            <c:spPr>
              <a:solidFill>
                <a:schemeClr val="bg1"/>
              </a:solidFill>
            </c:spPr>
            <c:txPr>
              <a:bodyPr rot="0"/>
              <a:lstStyle/>
              <a:p>
                <a:pPr algn="ctr" rtl="0">
                  <a:defRPr sz="600"/>
                </a:pPr>
                <a:endParaRPr lang="ja-JP"/>
              </a:p>
            </c:txPr>
            <c:dLblPos val="ct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省エネ設備!$Q$5:$Q$6</c:f>
              <c:strCache>
                <c:ptCount val="2"/>
                <c:pt idx="0">
                  <c:v>秋田県</c:v>
                </c:pt>
                <c:pt idx="1">
                  <c:v>全　国</c:v>
                </c:pt>
              </c:strCache>
            </c:strRef>
          </c:cat>
          <c:val>
            <c:numRef>
              <c:f>省エネ設備!$S$5:$S$6</c:f>
              <c:numCache>
                <c:formatCode>0.0</c:formatCode>
                <c:ptCount val="2"/>
                <c:pt idx="0">
                  <c:v>85.923753665689148</c:v>
                </c:pt>
                <c:pt idx="1">
                  <c:v>54.368017402698619</c:v>
                </c:pt>
              </c:numCache>
            </c:numRef>
          </c:val>
          <c:extLst>
            <c:ext xmlns:c16="http://schemas.microsoft.com/office/drawing/2014/chart" uri="{C3380CC4-5D6E-409C-BE32-E72D297353CC}">
              <c16:uniqueId val="{00000003-C63F-4CDE-84FE-C33CDE874592}"/>
            </c:ext>
          </c:extLst>
        </c:ser>
        <c:dLbls>
          <c:showLegendKey val="0"/>
          <c:showVal val="0"/>
          <c:showCatName val="0"/>
          <c:showSerName val="0"/>
          <c:showPercent val="0"/>
          <c:showBubbleSize val="0"/>
        </c:dLbls>
        <c:gapWidth val="35"/>
        <c:overlap val="100"/>
        <c:serLines>
          <c:spPr>
            <a:ln w="1905">
              <a:solidFill>
                <a:schemeClr val="tx1">
                  <a:shade val="95000"/>
                  <a:satMod val="105000"/>
                </a:schemeClr>
              </a:solidFill>
              <a:prstDash val="sysDot"/>
            </a:ln>
          </c:spPr>
        </c:serLines>
        <c:axId val="41781888"/>
        <c:axId val="41804160"/>
      </c:barChart>
      <c:catAx>
        <c:axId val="41781888"/>
        <c:scaling>
          <c:orientation val="minMax"/>
        </c:scaling>
        <c:delete val="0"/>
        <c:axPos val="l"/>
        <c:numFmt formatCode="General" sourceLinked="1"/>
        <c:majorTickMark val="out"/>
        <c:minorTickMark val="none"/>
        <c:tickLblPos val="nextTo"/>
        <c:txPr>
          <a:bodyPr/>
          <a:lstStyle/>
          <a:p>
            <a:pPr algn="ctr" rtl="0">
              <a:defRPr sz="800"/>
            </a:pPr>
            <a:endParaRPr lang="ja-JP"/>
          </a:p>
        </c:txPr>
        <c:crossAx val="41804160"/>
        <c:crosses val="autoZero"/>
        <c:auto val="1"/>
        <c:lblAlgn val="ctr"/>
        <c:lblOffset val="100"/>
        <c:noMultiLvlLbl val="0"/>
      </c:catAx>
      <c:valAx>
        <c:axId val="41804160"/>
        <c:scaling>
          <c:orientation val="minMax"/>
          <c:min val="0"/>
        </c:scaling>
        <c:delete val="0"/>
        <c:axPos val="b"/>
        <c:numFmt formatCode="0%" sourceLinked="1"/>
        <c:majorTickMark val="in"/>
        <c:minorTickMark val="none"/>
        <c:tickLblPos val="low"/>
        <c:txPr>
          <a:bodyPr/>
          <a:lstStyle/>
          <a:p>
            <a:pPr algn="ctr" rtl="0">
              <a:defRPr sz="800"/>
            </a:pPr>
            <a:endParaRPr lang="ja-JP"/>
          </a:p>
        </c:txPr>
        <c:crossAx val="41781888"/>
        <c:crosses val="autoZero"/>
        <c:crossBetween val="between"/>
        <c:majorUnit val="0.2"/>
        <c:minorUnit val="0.1"/>
      </c:valAx>
      <c:spPr>
        <a:ln w="3175">
          <a:solidFill>
            <a:schemeClr val="tx1">
              <a:tint val="75000"/>
              <a:shade val="95000"/>
              <a:satMod val="105000"/>
            </a:schemeClr>
          </a:solidFill>
        </a:ln>
      </c:spPr>
    </c:plotArea>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700"/>
            </a:pPr>
            <a:r>
              <a:rPr lang="ja-JP" sz="700"/>
              <a:t>図９－</a:t>
            </a:r>
            <a:r>
              <a:rPr lang="ja-JP" altLang="en-US" sz="700"/>
              <a:t>５</a:t>
            </a:r>
            <a:r>
              <a:rPr lang="ja-JP" sz="700"/>
              <a:t>　オートロックの有無別共同住宅割合</a:t>
            </a:r>
            <a:endParaRPr lang="en-US" sz="700"/>
          </a:p>
          <a:p>
            <a:pPr algn="ctr" rtl="0">
              <a:defRPr sz="700"/>
            </a:pPr>
            <a:r>
              <a:rPr lang="ja-JP" sz="700"/>
              <a:t>－全国、秋田県（平成30年）</a:t>
            </a:r>
          </a:p>
        </c:rich>
      </c:tx>
      <c:layout>
        <c:manualLayout>
          <c:xMode val="edge"/>
          <c:yMode val="edge"/>
          <c:x val="0.19907863829839773"/>
          <c:y val="2.1164021164021163E-2"/>
        </c:manualLayout>
      </c:layout>
      <c:overlay val="0"/>
    </c:title>
    <c:autoTitleDeleted val="0"/>
    <c:plotArea>
      <c:layout>
        <c:manualLayout>
          <c:layoutTarget val="inner"/>
          <c:xMode val="edge"/>
          <c:yMode val="edge"/>
          <c:x val="0.12856666666666666"/>
          <c:y val="0.20276554260728075"/>
          <c:w val="0.82850870370370366"/>
          <c:h val="0.67698015599872829"/>
        </c:manualLayout>
      </c:layout>
      <c:barChart>
        <c:barDir val="bar"/>
        <c:grouping val="percentStacked"/>
        <c:varyColors val="0"/>
        <c:ser>
          <c:idx val="0"/>
          <c:order val="0"/>
          <c:tx>
            <c:strRef>
              <c:f>省エネ設備!$L$4</c:f>
              <c:strCache>
                <c:ptCount val="1"/>
                <c:pt idx="0">
                  <c:v>オートロック式</c:v>
                </c:pt>
              </c:strCache>
            </c:strRef>
          </c:tx>
          <c:spPr>
            <a:pattFill prst="ltDnDiag">
              <a:fgClr>
                <a:schemeClr val="accent5"/>
              </a:fgClr>
              <a:bgClr>
                <a:schemeClr val="bg1"/>
              </a:bgClr>
            </a:pattFill>
            <a:ln w="3175">
              <a:solidFill>
                <a:schemeClr val="tx1">
                  <a:shade val="95000"/>
                  <a:satMod val="105000"/>
                </a:schemeClr>
              </a:solidFill>
            </a:ln>
          </c:spPr>
          <c:invertIfNegative val="0"/>
          <c:dLbls>
            <c:dLbl>
              <c:idx val="0"/>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DA40-4A7B-8BA0-EA02F1D4F1DE}"/>
                </c:ext>
              </c:extLst>
            </c:dLbl>
            <c:numFmt formatCode="#,##0.0_);[Red]\(#,##0.0\)" sourceLinked="0"/>
            <c:spPr>
              <a:solidFill>
                <a:schemeClr val="bg1"/>
              </a:solidFill>
            </c:spPr>
            <c:txPr>
              <a:bodyPr rot="0"/>
              <a:lstStyle/>
              <a:p>
                <a:pPr algn="ctr" rtl="0">
                  <a:defRPr sz="600"/>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省エネ設備!$K$5:$K$6</c:f>
              <c:strCache>
                <c:ptCount val="2"/>
                <c:pt idx="0">
                  <c:v>秋田県</c:v>
                </c:pt>
                <c:pt idx="1">
                  <c:v>全　国</c:v>
                </c:pt>
              </c:strCache>
            </c:strRef>
          </c:cat>
          <c:val>
            <c:numRef>
              <c:f>省エネ設備!$L$5:$L$6</c:f>
              <c:numCache>
                <c:formatCode>0.0</c:formatCode>
                <c:ptCount val="2"/>
                <c:pt idx="0">
                  <c:v>11.143695014662756</c:v>
                </c:pt>
                <c:pt idx="1">
                  <c:v>34.182771157082485</c:v>
                </c:pt>
              </c:numCache>
            </c:numRef>
          </c:val>
          <c:extLst>
            <c:ext xmlns:c16="http://schemas.microsoft.com/office/drawing/2014/chart" uri="{C3380CC4-5D6E-409C-BE32-E72D297353CC}">
              <c16:uniqueId val="{00000001-DA40-4A7B-8BA0-EA02F1D4F1DE}"/>
            </c:ext>
          </c:extLst>
        </c:ser>
        <c:ser>
          <c:idx val="1"/>
          <c:order val="1"/>
          <c:tx>
            <c:strRef>
              <c:f>省エネ設備!$M$4</c:f>
              <c:strCache>
                <c:ptCount val="1"/>
                <c:pt idx="0">
                  <c:v>オートロック式でない</c:v>
                </c:pt>
              </c:strCache>
            </c:strRef>
          </c:tx>
          <c:spPr>
            <a:pattFill prst="pct20">
              <a:fgClr>
                <a:schemeClr val="accent5"/>
              </a:fgClr>
              <a:bgClr>
                <a:schemeClr val="bg1"/>
              </a:bgClr>
            </a:pattFill>
            <a:ln w="3175">
              <a:solidFill>
                <a:schemeClr val="tx1">
                  <a:shade val="95000"/>
                  <a:satMod val="105000"/>
                </a:schemeClr>
              </a:solidFill>
            </a:ln>
          </c:spPr>
          <c:invertIfNegative val="0"/>
          <c:dLbls>
            <c:dLbl>
              <c:idx val="0"/>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DA40-4A7B-8BA0-EA02F1D4F1DE}"/>
                </c:ext>
              </c:extLst>
            </c:dLbl>
            <c:numFmt formatCode="#,##0.0_);[Red]\(#,##0.0\)" sourceLinked="0"/>
            <c:spPr>
              <a:solidFill>
                <a:schemeClr val="bg1"/>
              </a:solidFill>
            </c:spPr>
            <c:txPr>
              <a:bodyPr rot="0"/>
              <a:lstStyle/>
              <a:p>
                <a:pPr algn="ctr" rtl="0">
                  <a:defRPr sz="600"/>
                </a:pPr>
                <a:endParaRPr lang="ja-JP"/>
              </a:p>
            </c:txPr>
            <c:dLblPos val="ct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省エネ設備!$K$5:$K$6</c:f>
              <c:strCache>
                <c:ptCount val="2"/>
                <c:pt idx="0">
                  <c:v>秋田県</c:v>
                </c:pt>
                <c:pt idx="1">
                  <c:v>全　国</c:v>
                </c:pt>
              </c:strCache>
            </c:strRef>
          </c:cat>
          <c:val>
            <c:numRef>
              <c:f>省エネ設備!$M$5:$M$6</c:f>
              <c:numCache>
                <c:formatCode>0.0</c:formatCode>
                <c:ptCount val="2"/>
                <c:pt idx="0">
                  <c:v>88.856304985337246</c:v>
                </c:pt>
                <c:pt idx="1">
                  <c:v>65.817228842917515</c:v>
                </c:pt>
              </c:numCache>
            </c:numRef>
          </c:val>
          <c:extLst>
            <c:ext xmlns:c16="http://schemas.microsoft.com/office/drawing/2014/chart" uri="{C3380CC4-5D6E-409C-BE32-E72D297353CC}">
              <c16:uniqueId val="{00000003-DA40-4A7B-8BA0-EA02F1D4F1DE}"/>
            </c:ext>
          </c:extLst>
        </c:ser>
        <c:dLbls>
          <c:showLegendKey val="0"/>
          <c:showVal val="0"/>
          <c:showCatName val="0"/>
          <c:showSerName val="0"/>
          <c:showPercent val="0"/>
          <c:showBubbleSize val="0"/>
        </c:dLbls>
        <c:gapWidth val="35"/>
        <c:overlap val="100"/>
        <c:serLines>
          <c:spPr>
            <a:ln w="1905">
              <a:solidFill>
                <a:schemeClr val="tx1">
                  <a:shade val="95000"/>
                  <a:satMod val="105000"/>
                </a:schemeClr>
              </a:solidFill>
              <a:prstDash val="sysDot"/>
            </a:ln>
          </c:spPr>
        </c:serLines>
        <c:axId val="41892096"/>
        <c:axId val="41906176"/>
      </c:barChart>
      <c:catAx>
        <c:axId val="41892096"/>
        <c:scaling>
          <c:orientation val="minMax"/>
        </c:scaling>
        <c:delete val="0"/>
        <c:axPos val="l"/>
        <c:numFmt formatCode="General" sourceLinked="1"/>
        <c:majorTickMark val="out"/>
        <c:minorTickMark val="none"/>
        <c:tickLblPos val="nextTo"/>
        <c:txPr>
          <a:bodyPr/>
          <a:lstStyle/>
          <a:p>
            <a:pPr algn="ctr" rtl="0">
              <a:defRPr sz="800"/>
            </a:pPr>
            <a:endParaRPr lang="ja-JP"/>
          </a:p>
        </c:txPr>
        <c:crossAx val="41906176"/>
        <c:crosses val="autoZero"/>
        <c:auto val="1"/>
        <c:lblAlgn val="ctr"/>
        <c:lblOffset val="100"/>
        <c:noMultiLvlLbl val="0"/>
      </c:catAx>
      <c:valAx>
        <c:axId val="41906176"/>
        <c:scaling>
          <c:orientation val="minMax"/>
          <c:min val="0"/>
        </c:scaling>
        <c:delete val="0"/>
        <c:axPos val="b"/>
        <c:numFmt formatCode="0%" sourceLinked="1"/>
        <c:majorTickMark val="in"/>
        <c:minorTickMark val="none"/>
        <c:tickLblPos val="low"/>
        <c:txPr>
          <a:bodyPr/>
          <a:lstStyle/>
          <a:p>
            <a:pPr algn="ctr" rtl="0">
              <a:defRPr sz="800"/>
            </a:pPr>
            <a:endParaRPr lang="ja-JP"/>
          </a:p>
        </c:txPr>
        <c:crossAx val="41892096"/>
        <c:crosses val="autoZero"/>
        <c:crossBetween val="between"/>
        <c:majorUnit val="0.2"/>
        <c:minorUnit val="0.1"/>
      </c:valAx>
      <c:spPr>
        <a:ln w="3175">
          <a:solidFill>
            <a:schemeClr val="tx1">
              <a:tint val="75000"/>
              <a:shade val="95000"/>
              <a:satMod val="105000"/>
            </a:schemeClr>
          </a:solidFill>
        </a:ln>
      </c:spPr>
    </c:plotArea>
    <c:plotVisOnly val="1"/>
    <c:dispBlanksAs val="gap"/>
    <c:showDLblsOverMax val="0"/>
  </c:chart>
  <c:spPr>
    <a:noFill/>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図１０－１　平成</a:t>
            </a:r>
            <a:r>
              <a:rPr lang="en-US" sz="800"/>
              <a:t>26</a:t>
            </a:r>
            <a:r>
              <a:rPr lang="ja-JP" sz="800"/>
              <a:t>年以降の増改築・改修工事等の</a:t>
            </a:r>
            <a:endParaRPr lang="en-US" sz="800"/>
          </a:p>
          <a:p>
            <a:pPr algn="ctr" rtl="0">
              <a:defRPr sz="800"/>
            </a:pPr>
            <a:r>
              <a:rPr lang="ja-JP" sz="800"/>
              <a:t>　　　　　　　　　状況別持ち家の割合－秋田県（平成３０年）</a:t>
            </a:r>
          </a:p>
        </c:rich>
      </c:tx>
      <c:layout>
        <c:manualLayout>
          <c:xMode val="edge"/>
          <c:yMode val="edge"/>
          <c:x val="0.2153814976568327"/>
          <c:y val="0"/>
        </c:manualLayout>
      </c:layout>
      <c:overlay val="0"/>
    </c:title>
    <c:autoTitleDeleted val="0"/>
    <c:plotArea>
      <c:layout>
        <c:manualLayout>
          <c:layoutTarget val="inner"/>
          <c:xMode val="edge"/>
          <c:yMode val="edge"/>
          <c:x val="0.19537333527229059"/>
          <c:y val="0.14551737677802931"/>
          <c:w val="0.76190601279093662"/>
          <c:h val="0.75986352863554685"/>
        </c:manualLayout>
      </c:layout>
      <c:barChart>
        <c:barDir val="bar"/>
        <c:grouping val="clustered"/>
        <c:varyColors val="0"/>
        <c:ser>
          <c:idx val="0"/>
          <c:order val="0"/>
          <c:spPr>
            <a:pattFill prst="ltUpDiag">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8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増改築・改修工事!$B$20:$H$20</c:f>
              <c:strCache>
                <c:ptCount val="7"/>
                <c:pt idx="0">
                  <c:v>その他の工事</c:v>
                </c:pt>
                <c:pt idx="1">
                  <c:v>窓・壁等の断熱・
結露防止工事</c:v>
                </c:pt>
                <c:pt idx="2">
                  <c:v>壁・柱・基礎等の補強工事</c:v>
                </c:pt>
                <c:pt idx="3">
                  <c:v>屋根・外壁等の改修工事</c:v>
                </c:pt>
                <c:pt idx="4">
                  <c:v>天井・壁・床等の
内装の改修工事</c:v>
                </c:pt>
                <c:pt idx="5">
                  <c:v>台所・トイレ・浴室・
洗面所の改修工事</c:v>
                </c:pt>
                <c:pt idx="6">
                  <c:v>増築・間取りの変更</c:v>
                </c:pt>
              </c:strCache>
            </c:strRef>
          </c:cat>
          <c:val>
            <c:numRef>
              <c:f>増改築・改修工事!$B$21:$H$21</c:f>
              <c:numCache>
                <c:formatCode>General</c:formatCode>
                <c:ptCount val="7"/>
                <c:pt idx="0">
                  <c:v>11.718235681369322</c:v>
                </c:pt>
                <c:pt idx="1">
                  <c:v>3.2040470000000001</c:v>
                </c:pt>
                <c:pt idx="2">
                  <c:v>1.3828</c:v>
                </c:pt>
                <c:pt idx="3">
                  <c:v>13.187200000000001</c:v>
                </c:pt>
                <c:pt idx="4">
                  <c:v>6.4080899999999996</c:v>
                </c:pt>
                <c:pt idx="5">
                  <c:v>14.7723</c:v>
                </c:pt>
                <c:pt idx="6">
                  <c:v>3.7099500000000001</c:v>
                </c:pt>
              </c:numCache>
            </c:numRef>
          </c:val>
          <c:extLst>
            <c:ext xmlns:c16="http://schemas.microsoft.com/office/drawing/2014/chart" uri="{C3380CC4-5D6E-409C-BE32-E72D297353CC}">
              <c16:uniqueId val="{00000000-EEE8-497D-B372-FB947108E0F1}"/>
            </c:ext>
          </c:extLst>
        </c:ser>
        <c:dLbls>
          <c:showLegendKey val="0"/>
          <c:showVal val="0"/>
          <c:showCatName val="0"/>
          <c:showSerName val="0"/>
          <c:showPercent val="0"/>
          <c:showBubbleSize val="0"/>
        </c:dLbls>
        <c:gapWidth val="70"/>
        <c:axId val="41915904"/>
        <c:axId val="41920384"/>
      </c:barChart>
      <c:catAx>
        <c:axId val="41915904"/>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600"/>
            </a:pPr>
            <a:endParaRPr lang="ja-JP"/>
          </a:p>
        </c:txPr>
        <c:crossAx val="41920384"/>
        <c:crosses val="autoZero"/>
        <c:auto val="1"/>
        <c:lblAlgn val="ctr"/>
        <c:lblOffset val="100"/>
        <c:noMultiLvlLbl val="0"/>
      </c:catAx>
      <c:valAx>
        <c:axId val="41920384"/>
        <c:scaling>
          <c:orientation val="minMax"/>
          <c:max val="20"/>
        </c:scaling>
        <c:delete val="0"/>
        <c:axPos val="b"/>
        <c:majorGridlines>
          <c:spPr>
            <a:ln>
              <a:solidFill>
                <a:schemeClr val="tx1"/>
              </a:solidFill>
              <a:prstDash val="sysDash"/>
            </a:ln>
          </c:spPr>
        </c:majorGridlines>
        <c:numFmt formatCode="General\%" sourceLinked="0"/>
        <c:majorTickMark val="in"/>
        <c:minorTickMark val="none"/>
        <c:tickLblPos val="nextTo"/>
        <c:spPr>
          <a:ln>
            <a:solidFill>
              <a:schemeClr val="tx1"/>
            </a:solidFill>
            <a:prstDash val="solid"/>
          </a:ln>
        </c:spPr>
        <c:txPr>
          <a:bodyPr/>
          <a:lstStyle/>
          <a:p>
            <a:pPr algn="ctr" rtl="0">
              <a:defRPr sz="800"/>
            </a:pPr>
            <a:endParaRPr lang="ja-JP"/>
          </a:p>
        </c:txPr>
        <c:crossAx val="41915904"/>
        <c:crosses val="autoZero"/>
        <c:crossBetween val="between"/>
        <c:majorUnit val="5"/>
      </c:valAx>
      <c:spPr>
        <a:ln>
          <a:solidFill>
            <a:schemeClr val="tx1"/>
          </a:solidFill>
        </a:ln>
      </c:spPr>
    </c:plotArea>
    <c:plotVisOnly val="1"/>
    <c:dispBlanksAs val="gap"/>
    <c:showDLblsOverMax val="0"/>
  </c:chart>
  <c:spPr>
    <a:ln>
      <a:solidFill>
        <a:srgbClr xmlns:mc="http://schemas.openxmlformats.org/markup-compatibility/2006" xmlns:a14="http://schemas.microsoft.com/office/drawing/2010/main" val="000000" mc:Ignorable="a14" a14:legacySpreadsheetColorIndex="64"/>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図１０－２　持ち家における耐震診断の有無別割合－秋田県</a:t>
            </a:r>
            <a:endParaRPr lang="en-US" sz="800"/>
          </a:p>
          <a:p>
            <a:pPr algn="ctr" rtl="0">
              <a:defRPr sz="800"/>
            </a:pPr>
            <a:r>
              <a:rPr lang="ja-JP" sz="800"/>
              <a:t>（平成３０年）</a:t>
            </a:r>
          </a:p>
        </c:rich>
      </c:tx>
      <c:layout>
        <c:manualLayout>
          <c:xMode val="edge"/>
          <c:yMode val="edge"/>
          <c:x val="0.17171397107424002"/>
          <c:y val="1.3888888888888888E-2"/>
        </c:manualLayout>
      </c:layout>
      <c:overlay val="0"/>
    </c:title>
    <c:autoTitleDeleted val="0"/>
    <c:plotArea>
      <c:layout>
        <c:manualLayout>
          <c:layoutTarget val="inner"/>
          <c:xMode val="edge"/>
          <c:yMode val="edge"/>
          <c:x val="1.5277777777777777E-2"/>
          <c:y val="0.16391404199475065"/>
          <c:w val="0.98472215020629472"/>
          <c:h val="0.77479148439778356"/>
        </c:manualLayout>
      </c:layout>
      <c:ofPieChart>
        <c:ofPieType val="bar"/>
        <c:varyColors val="1"/>
        <c:ser>
          <c:idx val="0"/>
          <c:order val="0"/>
          <c:spPr>
            <a:pattFill prst="pct25">
              <a:fgClr>
                <a:schemeClr val="accent1"/>
              </a:fgClr>
              <a:bgClr>
                <a:schemeClr val="bg1"/>
              </a:bgClr>
            </a:pattFill>
            <a:ln w="3175">
              <a:solidFill>
                <a:schemeClr val="tx1"/>
              </a:solidFill>
            </a:ln>
          </c:spPr>
          <c:explosion val="10"/>
          <c:dPt>
            <c:idx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0-2740-4383-A12E-14AE98038939}"/>
              </c:ext>
            </c:extLst>
          </c:dPt>
          <c:dPt>
            <c:idx val="1"/>
            <c:bubble3D val="0"/>
            <c:spPr>
              <a:pattFill prst="ltHorz">
                <a:fgClr>
                  <a:schemeClr val="accent5"/>
                </a:fgClr>
                <a:bgClr>
                  <a:schemeClr val="bg1"/>
                </a:bgClr>
              </a:pattFill>
              <a:ln w="3175">
                <a:solidFill>
                  <a:schemeClr val="tx1"/>
                </a:solidFill>
              </a:ln>
            </c:spPr>
            <c:extLst>
              <c:ext xmlns:c16="http://schemas.microsoft.com/office/drawing/2014/chart" uri="{C3380CC4-5D6E-409C-BE32-E72D297353CC}">
                <c16:uniqueId val="{00000002-2740-4383-A12E-14AE98038939}"/>
              </c:ext>
            </c:extLst>
          </c:dPt>
          <c:dPt>
            <c:idx val="2"/>
            <c:bubble3D val="0"/>
            <c:spPr>
              <a:pattFill prst="lgCheck">
                <a:fgClr>
                  <a:schemeClr val="accent5"/>
                </a:fgClr>
                <a:bgClr>
                  <a:schemeClr val="bg1"/>
                </a:bgClr>
              </a:pattFill>
              <a:ln w="3175">
                <a:solidFill>
                  <a:schemeClr val="tx1"/>
                </a:solidFill>
              </a:ln>
            </c:spPr>
            <c:extLst>
              <c:ext xmlns:c16="http://schemas.microsoft.com/office/drawing/2014/chart" uri="{C3380CC4-5D6E-409C-BE32-E72D297353CC}">
                <c16:uniqueId val="{00000004-2740-4383-A12E-14AE98038939}"/>
              </c:ext>
            </c:extLst>
          </c:dPt>
          <c:dPt>
            <c:idx val="3"/>
            <c:bubble3D val="0"/>
            <c:explosion val="13"/>
            <c:spPr>
              <a:pattFill prst="ltUpDiag">
                <a:fgClr>
                  <a:schemeClr val="accent5"/>
                </a:fgClr>
                <a:bgClr>
                  <a:schemeClr val="bg1"/>
                </a:bgClr>
              </a:pattFill>
              <a:ln w="3175">
                <a:solidFill>
                  <a:schemeClr val="tx1"/>
                </a:solidFill>
              </a:ln>
            </c:spPr>
            <c:extLst>
              <c:ext xmlns:c16="http://schemas.microsoft.com/office/drawing/2014/chart" uri="{C3380CC4-5D6E-409C-BE32-E72D297353CC}">
                <c16:uniqueId val="{00000006-2740-4383-A12E-14AE98038939}"/>
              </c:ext>
            </c:extLst>
          </c:dPt>
          <c:dLbls>
            <c:dLbl>
              <c:idx val="0"/>
              <c:layout>
                <c:manualLayout>
                  <c:x val="0.1764999888889712"/>
                  <c:y val="-8.4875562720133283E-17"/>
                </c:manualLayout>
              </c:layout>
              <c:spPr>
                <a:solidFill>
                  <a:schemeClr val="bg1"/>
                </a:solidFill>
              </c:spPr>
              <c:txPr>
                <a:bodyPr/>
                <a:lstStyle/>
                <a:p>
                  <a:pPr>
                    <a:defRPr sz="800"/>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2740-4383-A12E-14AE98038939}"/>
                </c:ext>
              </c:extLst>
            </c:dLbl>
            <c:dLbl>
              <c:idx val="1"/>
              <c:layout>
                <c:manualLayout>
                  <c:x val="-0.10988090188659876"/>
                  <c:y val="-9.2592592592592587E-3"/>
                </c:manualLayout>
              </c:layout>
              <c:spPr>
                <a:solidFill>
                  <a:schemeClr val="bg1"/>
                </a:solidFill>
              </c:spPr>
              <c:txPr>
                <a:bodyPr/>
                <a:lstStyle/>
                <a:p>
                  <a:pPr>
                    <a:defRPr sz="700"/>
                  </a:pPr>
                  <a:endParaRPr lang="ja-JP"/>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2740-4383-A12E-14AE98038939}"/>
                </c:ext>
              </c:extLst>
            </c:dLbl>
            <c:dLbl>
              <c:idx val="2"/>
              <c:delete val="1"/>
              <c:extLst>
                <c:ext xmlns:c15="http://schemas.microsoft.com/office/drawing/2012/chart" uri="{CE6537A1-D6FC-4f65-9D91-7224C49458BB}"/>
                <c:ext xmlns:c16="http://schemas.microsoft.com/office/drawing/2014/chart" uri="{C3380CC4-5D6E-409C-BE32-E72D297353CC}">
                  <c16:uniqueId val="{00000004-2740-4383-A12E-14AE98038939}"/>
                </c:ext>
              </c:extLst>
            </c:dLbl>
            <c:dLbl>
              <c:idx val="3"/>
              <c:delete val="1"/>
              <c:extLst>
                <c:ext xmlns:c15="http://schemas.microsoft.com/office/drawing/2012/chart" uri="{CE6537A1-D6FC-4f65-9D91-7224C49458BB}"/>
                <c:ext xmlns:c16="http://schemas.microsoft.com/office/drawing/2014/chart" uri="{C3380CC4-5D6E-409C-BE32-E72D297353CC}">
                  <c16:uniqueId val="{00000006-2740-4383-A12E-14AE98038939}"/>
                </c:ext>
              </c:extLst>
            </c:dLbl>
            <c:spPr>
              <a:solidFill>
                <a:schemeClr val="bg1"/>
              </a:solidFill>
            </c:spPr>
            <c:txPr>
              <a:bodyPr rot="0"/>
              <a:lstStyle/>
              <a:p>
                <a:pPr algn="ctr" rtl="0">
                  <a:defRPr sz="800"/>
                </a:pPr>
                <a:endParaRPr lang="ja-JP"/>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耐震診断!$B$28:$D$28</c:f>
              <c:strCache>
                <c:ptCount val="3"/>
                <c:pt idx="0">
                  <c:v>耐震診断　無</c:v>
                </c:pt>
                <c:pt idx="1">
                  <c:v>耐震性確保</c:v>
                </c:pt>
                <c:pt idx="2">
                  <c:v>耐震性非確保</c:v>
                </c:pt>
              </c:strCache>
            </c:strRef>
          </c:cat>
          <c:val>
            <c:numRef>
              <c:f>耐震診断!$B$29:$D$29</c:f>
              <c:numCache>
                <c:formatCode>0.0</c:formatCode>
                <c:ptCount val="3"/>
                <c:pt idx="0">
                  <c:v>95.210792580101185</c:v>
                </c:pt>
                <c:pt idx="1">
                  <c:v>4.5868465430016867</c:v>
                </c:pt>
                <c:pt idx="2">
                  <c:v>0.23608768971332211</c:v>
                </c:pt>
              </c:numCache>
            </c:numRef>
          </c:val>
          <c:extLst>
            <c:ext xmlns:c16="http://schemas.microsoft.com/office/drawing/2014/chart" uri="{C3380CC4-5D6E-409C-BE32-E72D297353CC}">
              <c16:uniqueId val="{00000007-2740-4383-A12E-14AE98038939}"/>
            </c:ext>
          </c:extLst>
        </c:ser>
        <c:dLbls>
          <c:showLegendKey val="0"/>
          <c:showVal val="0"/>
          <c:showCatName val="0"/>
          <c:showSerName val="0"/>
          <c:showPercent val="0"/>
          <c:showBubbleSize val="0"/>
          <c:showLeaderLines val="1"/>
        </c:dLbls>
        <c:gapWidth val="100"/>
        <c:splitType val="pos"/>
        <c:splitPos val="2"/>
        <c:secondPieSize val="55"/>
        <c:serLines/>
      </c:ofPieChart>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900" i="0" u="none" strike="noStrike" baseline="0">
                <a:solidFill>
                  <a:schemeClr val="tx1"/>
                </a:solidFill>
              </a:defRPr>
            </a:pPr>
            <a:r>
              <a:rPr lang="ja-JP" altLang="en-US" sz="900" b="1" i="0" u="none" strike="noStrike" baseline="0">
                <a:solidFill>
                  <a:schemeClr val="tx1"/>
                </a:solidFill>
                <a:latin typeface="+mj-ea"/>
                <a:ea typeface="+mj-ea"/>
              </a:rPr>
              <a:t>住宅の所有の関係別割合－秋田県（平成</a:t>
            </a:r>
            <a:r>
              <a:rPr lang="en-US" altLang="ja-JP" sz="900" b="1" i="0" u="none" strike="noStrike" baseline="0">
                <a:solidFill>
                  <a:schemeClr val="tx1"/>
                </a:solidFill>
                <a:latin typeface="+mj-ea"/>
                <a:ea typeface="+mj-ea"/>
              </a:rPr>
              <a:t>30</a:t>
            </a:r>
            <a:r>
              <a:rPr lang="ja-JP" altLang="en-US" sz="900" b="1" i="0" u="none" strike="noStrike" baseline="0">
                <a:solidFill>
                  <a:schemeClr val="tx1"/>
                </a:solidFill>
                <a:latin typeface="+mj-ea"/>
                <a:ea typeface="+mj-ea"/>
              </a:rPr>
              <a:t>年）</a:t>
            </a:r>
          </a:p>
        </c:rich>
      </c:tx>
      <c:layout>
        <c:manualLayout>
          <c:xMode val="edge"/>
          <c:yMode val="edge"/>
          <c:x val="0.30387937839532958"/>
          <c:y val="3.0236220472440945E-2"/>
        </c:manualLayout>
      </c:layout>
      <c:overlay val="0"/>
    </c:title>
    <c:autoTitleDeleted val="0"/>
    <c:plotArea>
      <c:layout>
        <c:manualLayout>
          <c:layoutTarget val="inner"/>
          <c:xMode val="edge"/>
          <c:yMode val="edge"/>
          <c:x val="3.3899629629629627E-2"/>
          <c:y val="0.31249761904761902"/>
          <c:w val="0.91902277777777763"/>
          <c:h val="0.52288888888888885"/>
        </c:manualLayout>
      </c:layout>
      <c:barChart>
        <c:barDir val="bar"/>
        <c:grouping val="percentStacked"/>
        <c:varyColors val="0"/>
        <c:ser>
          <c:idx val="0"/>
          <c:order val="0"/>
          <c:tx>
            <c:strRef>
              <c:f>'所有、建て方'!$B$30</c:f>
              <c:strCache>
                <c:ptCount val="1"/>
                <c:pt idx="0">
                  <c:v>持ち家</c:v>
                </c:pt>
              </c:strCache>
            </c:strRef>
          </c:tx>
          <c:spPr>
            <a:pattFill prst="pct5">
              <a:fgClr>
                <a:srgbClr val="4BACC6"/>
              </a:fgClr>
              <a:bgClr>
                <a:sysClr val="window" lastClr="FFFFFF"/>
              </a:bgClr>
            </a:pattFill>
            <a:ln w="3175">
              <a:solidFill>
                <a:schemeClr val="tx1"/>
              </a:solidFill>
            </a:ln>
          </c:spPr>
          <c:invertIfNegative val="0"/>
          <c:dPt>
            <c:idx val="0"/>
            <c:invertIfNegative val="0"/>
            <c:bubble3D val="0"/>
            <c:extLst>
              <c:ext xmlns:c16="http://schemas.microsoft.com/office/drawing/2014/chart" uri="{C3380CC4-5D6E-409C-BE32-E72D297353CC}">
                <c16:uniqueId val="{00000000-5B61-4BBB-B341-610468911C57}"/>
              </c:ext>
            </c:extLst>
          </c:dPt>
          <c:dLbls>
            <c:dLbl>
              <c:idx val="0"/>
              <c:numFmt formatCode="#,##0.0_);[Red]\(#,##0.0\)" sourceLinked="0"/>
              <c:spPr>
                <a:solidFill>
                  <a:srgbClr xmlns:mc="http://schemas.openxmlformats.org/markup-compatibility/2006" xmlns:a14="http://schemas.microsoft.com/office/drawing/2010/main" val="FFFFFF" mc:Ignorable="a14" a14:legacySpreadsheetColorIndex="9"/>
                </a:solidFill>
              </c:spPr>
              <c:txPr>
                <a:bodyPr horzOverflow="overflow"/>
                <a:lstStyle/>
                <a:p>
                  <a:pPr>
                    <a:defRPr sz="900">
                      <a:solidFill>
                        <a:schemeClr val="tx1"/>
                      </a:solidFill>
                    </a:defRPr>
                  </a:pPr>
                  <a:endParaRPr lang="ja-JP"/>
                </a:p>
              </c:txP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5B61-4BBB-B341-610468911C57}"/>
                </c:ext>
              </c:extLst>
            </c:dLbl>
            <c:numFmt formatCode="#,##0.0_);[Red]\(#,##0.0\)" sourceLinked="0"/>
            <c:spPr>
              <a:solidFill>
                <a:srgbClr xmlns:mc="http://schemas.openxmlformats.org/markup-compatibility/2006" xmlns:a14="http://schemas.microsoft.com/office/drawing/2010/main" val="FFFFFF" mc:Ignorable="a14" a14:legacySpreadsheetColorIndex="9"/>
              </a:solidFill>
            </c:spPr>
            <c:txPr>
              <a:bodyPr rot="0" horzOverflow="overflow" anchor="ctr" anchorCtr="1"/>
              <a:lstStyle/>
              <a:p>
                <a:pPr algn="ctr" rtl="0">
                  <a:defRPr sz="1000">
                    <a:solidFill>
                      <a:schemeClr val="tx1"/>
                    </a:solidFill>
                  </a:defRPr>
                </a:pPr>
                <a:endParaRPr lang="ja-JP"/>
              </a:p>
            </c:txPr>
            <c:showLegendKey val="0"/>
            <c:showVal val="0"/>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'所有、建て方'!$A$31</c:f>
              <c:strCache>
                <c:ptCount val="1"/>
                <c:pt idx="0">
                  <c:v>30年</c:v>
                </c:pt>
              </c:strCache>
            </c:strRef>
          </c:cat>
          <c:val>
            <c:numRef>
              <c:f>'所有、建て方'!$B$31</c:f>
              <c:numCache>
                <c:formatCode>0.0</c:formatCode>
                <c:ptCount val="1"/>
                <c:pt idx="0">
                  <c:v>77.3</c:v>
                </c:pt>
              </c:numCache>
            </c:numRef>
          </c:val>
          <c:extLst>
            <c:ext xmlns:c16="http://schemas.microsoft.com/office/drawing/2014/chart" uri="{C3380CC4-5D6E-409C-BE32-E72D297353CC}">
              <c16:uniqueId val="{00000001-5B61-4BBB-B341-610468911C57}"/>
            </c:ext>
          </c:extLst>
        </c:ser>
        <c:ser>
          <c:idx val="1"/>
          <c:order val="1"/>
          <c:tx>
            <c:strRef>
              <c:f>'所有、建て方'!$C$30</c:f>
              <c:strCache>
                <c:ptCount val="1"/>
                <c:pt idx="0">
                  <c:v>公営の借家</c:v>
                </c:pt>
              </c:strCache>
            </c:strRef>
          </c:tx>
          <c:spPr>
            <a:pattFill prst="pct30">
              <a:fgClr>
                <a:srgbClr val="4BACC6"/>
              </a:fgClr>
              <a:bgClr>
                <a:sysClr val="window" lastClr="FFFFFF"/>
              </a:bgClr>
            </a:pattFill>
            <a:ln w="3175">
              <a:solidFill>
                <a:schemeClr val="tx1"/>
              </a:solidFill>
            </a:ln>
          </c:spPr>
          <c:invertIfNegative val="0"/>
          <c:cat>
            <c:strRef>
              <c:f>'所有、建て方'!$A$31</c:f>
              <c:strCache>
                <c:ptCount val="1"/>
                <c:pt idx="0">
                  <c:v>30年</c:v>
                </c:pt>
              </c:strCache>
            </c:strRef>
          </c:cat>
          <c:val>
            <c:numRef>
              <c:f>'所有、建て方'!$C$31</c:f>
              <c:numCache>
                <c:formatCode>0.0</c:formatCode>
                <c:ptCount val="1"/>
                <c:pt idx="0">
                  <c:v>3.2</c:v>
                </c:pt>
              </c:numCache>
            </c:numRef>
          </c:val>
          <c:extLst>
            <c:ext xmlns:c16="http://schemas.microsoft.com/office/drawing/2014/chart" uri="{C3380CC4-5D6E-409C-BE32-E72D297353CC}">
              <c16:uniqueId val="{00000002-5B61-4BBB-B341-610468911C57}"/>
            </c:ext>
          </c:extLst>
        </c:ser>
        <c:ser>
          <c:idx val="2"/>
          <c:order val="2"/>
          <c:tx>
            <c:strRef>
              <c:f>'所有、建て方'!$D$30</c:f>
              <c:strCache>
                <c:ptCount val="1"/>
                <c:pt idx="0">
                  <c:v>民営借家</c:v>
                </c:pt>
              </c:strCache>
            </c:strRef>
          </c:tx>
          <c:spPr>
            <a:pattFill prst="wdUpDiag">
              <a:fgClr>
                <a:srgbClr val="4BACC6"/>
              </a:fgClr>
              <a:bgClr>
                <a:sysClr val="window" lastClr="FFFFFF"/>
              </a:bgClr>
            </a:pattFill>
            <a:ln w="3175">
              <a:solidFill>
                <a:schemeClr val="tx1"/>
              </a:solidFill>
            </a:ln>
          </c:spPr>
          <c:invertIfNegative val="0"/>
          <c:dLbls>
            <c:spPr>
              <a:solidFill>
                <a:schemeClr val="bg1"/>
              </a:solidFill>
            </c:spPr>
            <c:txPr>
              <a:bodyPr rot="0" horzOverflow="overflow" anchor="ctr" anchorCtr="1"/>
              <a:lstStyle/>
              <a:p>
                <a:pPr algn="ctr" rtl="0">
                  <a:defRPr sz="900">
                    <a:solidFill>
                      <a:schemeClr val="tx1"/>
                    </a:solidFill>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'所有、建て方'!$A$31</c:f>
              <c:strCache>
                <c:ptCount val="1"/>
                <c:pt idx="0">
                  <c:v>30年</c:v>
                </c:pt>
              </c:strCache>
            </c:strRef>
          </c:cat>
          <c:val>
            <c:numRef>
              <c:f>'所有、建て方'!$D$31</c:f>
              <c:numCache>
                <c:formatCode>0.0</c:formatCode>
                <c:ptCount val="1"/>
                <c:pt idx="0">
                  <c:v>16.600000000000001</c:v>
                </c:pt>
              </c:numCache>
            </c:numRef>
          </c:val>
          <c:extLst>
            <c:ext xmlns:c16="http://schemas.microsoft.com/office/drawing/2014/chart" uri="{C3380CC4-5D6E-409C-BE32-E72D297353CC}">
              <c16:uniqueId val="{00000003-5B61-4BBB-B341-610468911C57}"/>
            </c:ext>
          </c:extLst>
        </c:ser>
        <c:ser>
          <c:idx val="4"/>
          <c:order val="3"/>
          <c:tx>
            <c:strRef>
              <c:f>'所有、建て方'!$E$30</c:f>
              <c:strCache>
                <c:ptCount val="1"/>
                <c:pt idx="0">
                  <c:v>不詳</c:v>
                </c:pt>
              </c:strCache>
            </c:strRef>
          </c:tx>
          <c:spPr>
            <a:pattFill prst="ltHorz">
              <a:fgClr>
                <a:srgbClr val="4BACC6"/>
              </a:fgClr>
              <a:bgClr>
                <a:sysClr val="window" lastClr="FFFFFF"/>
              </a:bgClr>
            </a:pattFill>
            <a:ln w="3175">
              <a:solidFill>
                <a:schemeClr val="tx1"/>
              </a:solidFill>
            </a:ln>
          </c:spPr>
          <c:invertIfNegative val="0"/>
          <c:cat>
            <c:strRef>
              <c:f>'所有、建て方'!$A$31</c:f>
              <c:strCache>
                <c:ptCount val="1"/>
                <c:pt idx="0">
                  <c:v>30年</c:v>
                </c:pt>
              </c:strCache>
            </c:strRef>
          </c:cat>
          <c:val>
            <c:numRef>
              <c:f>'所有、建て方'!$E$31</c:f>
              <c:numCache>
                <c:formatCode>0.0_ </c:formatCode>
                <c:ptCount val="1"/>
                <c:pt idx="0">
                  <c:v>2.9000000000000057</c:v>
                </c:pt>
              </c:numCache>
            </c:numRef>
          </c:val>
          <c:extLst>
            <c:ext xmlns:c16="http://schemas.microsoft.com/office/drawing/2014/chart" uri="{C3380CC4-5D6E-409C-BE32-E72D297353CC}">
              <c16:uniqueId val="{00000004-5B61-4BBB-B341-610468911C57}"/>
            </c:ext>
          </c:extLst>
        </c:ser>
        <c:dLbls>
          <c:showLegendKey val="0"/>
          <c:showVal val="0"/>
          <c:showCatName val="0"/>
          <c:showSerName val="0"/>
          <c:showPercent val="0"/>
          <c:showBubbleSize val="0"/>
        </c:dLbls>
        <c:gapWidth val="80"/>
        <c:overlap val="100"/>
        <c:axId val="1"/>
        <c:axId val="2"/>
      </c:barChart>
      <c:catAx>
        <c:axId val="1"/>
        <c:scaling>
          <c:orientation val="minMax"/>
        </c:scaling>
        <c:delete val="1"/>
        <c:axPos val="l"/>
        <c:majorGridlines/>
        <c:numFmt formatCode="General" sourceLinked="1"/>
        <c:majorTickMark val="out"/>
        <c:minorTickMark val="none"/>
        <c:tickLblPos val="nextTo"/>
        <c:crossAx val="2"/>
        <c:crosses val="autoZero"/>
        <c:auto val="1"/>
        <c:lblAlgn val="ctr"/>
        <c:lblOffset val="100"/>
        <c:noMultiLvlLbl val="0"/>
      </c:catAx>
      <c:valAx>
        <c:axId val="2"/>
        <c:scaling>
          <c:orientation val="minMax"/>
        </c:scaling>
        <c:delete val="0"/>
        <c:axPos val="b"/>
        <c:majorGridlines>
          <c:spPr>
            <a:ln>
              <a:prstDash val="sysDash"/>
            </a:ln>
          </c:spPr>
        </c:majorGridlines>
        <c:numFmt formatCode="0%" sourceLinked="1"/>
        <c:majorTickMark val="out"/>
        <c:minorTickMark val="in"/>
        <c:tickLblPos val="nextTo"/>
        <c:spPr>
          <a:ln>
            <a:prstDash val="solid"/>
          </a:ln>
        </c:spPr>
        <c:txPr>
          <a:bodyPr horzOverflow="overflow" anchor="ctr" anchorCtr="1"/>
          <a:lstStyle/>
          <a:p>
            <a:pPr algn="ctr" rtl="0">
              <a:defRPr sz="700">
                <a:solidFill>
                  <a:schemeClr val="tx1"/>
                </a:solidFill>
              </a:defRPr>
            </a:pPr>
            <a:endParaRPr lang="ja-JP"/>
          </a:p>
        </c:txPr>
        <c:crossAx val="1"/>
        <c:crosses val="autoZero"/>
        <c:crossBetween val="between"/>
        <c:majorUnit val="0.2"/>
        <c:minorUnit val="0.2"/>
      </c:valAx>
      <c:spPr>
        <a:ln>
          <a:solidFill>
            <a:schemeClr val="tx1">
              <a:tint val="75000"/>
              <a:shade val="95000"/>
              <a:satMod val="105000"/>
            </a:schemeClr>
          </a:solidFill>
        </a:ln>
      </c:spPr>
    </c:plotArea>
    <c:plotVisOnly val="1"/>
    <c:dispBlanksAs val="gap"/>
    <c:showDLblsOverMax val="0"/>
  </c:chart>
  <c:spPr>
    <a:ln>
      <a:solidFill>
        <a:sysClr val="windowText" lastClr="000000"/>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2">
    <c:autoUpdate val="0"/>
  </c:externalData>
  <c:userShapes r:id="rId3"/>
  <c:extLst/>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700"/>
            </a:pPr>
            <a:r>
              <a:rPr lang="ja-JP" sz="700"/>
              <a:t>図１１－１　高齢者のいる世帯の推移</a:t>
            </a:r>
            <a:endParaRPr lang="en-US" sz="700"/>
          </a:p>
          <a:p>
            <a:pPr algn="ctr" rtl="0">
              <a:defRPr sz="700"/>
            </a:pPr>
            <a:r>
              <a:rPr lang="ja-JP" sz="700"/>
              <a:t>　　　　　　　　　　　－秋田県（昭和</a:t>
            </a:r>
            <a:r>
              <a:rPr lang="en-US" sz="700"/>
              <a:t>63</a:t>
            </a:r>
            <a:r>
              <a:rPr lang="ja-JP" sz="700"/>
              <a:t>年～平成30年）</a:t>
            </a:r>
          </a:p>
        </c:rich>
      </c:tx>
      <c:layout>
        <c:manualLayout>
          <c:xMode val="edge"/>
          <c:yMode val="edge"/>
          <c:x val="0.1267121609798775"/>
          <c:y val="1.0079535512606378E-2"/>
        </c:manualLayout>
      </c:layout>
      <c:overlay val="0"/>
    </c:title>
    <c:autoTitleDeleted val="0"/>
    <c:plotArea>
      <c:layout>
        <c:manualLayout>
          <c:layoutTarget val="inner"/>
          <c:xMode val="edge"/>
          <c:yMode val="edge"/>
          <c:x val="0.10934537037037036"/>
          <c:y val="0.20561904761904759"/>
          <c:w val="0.76958936885443718"/>
          <c:h val="0.63625181772913308"/>
        </c:manualLayout>
      </c:layout>
      <c:barChart>
        <c:barDir val="col"/>
        <c:grouping val="clustered"/>
        <c:varyColors val="0"/>
        <c:ser>
          <c:idx val="0"/>
          <c:order val="0"/>
          <c:tx>
            <c:strRef>
              <c:f>高齢者世帯!$B$33</c:f>
              <c:strCache>
                <c:ptCount val="1"/>
                <c:pt idx="0">
                  <c:v>高齢者のいる世帯数（千世帯）</c:v>
                </c:pt>
              </c:strCache>
            </c:strRef>
          </c:tx>
          <c:spPr>
            <a:pattFill prst="pct25">
              <a:fgClr>
                <a:schemeClr val="accent5"/>
              </a:fgClr>
              <a:bgClr>
                <a:schemeClr val="bg1"/>
              </a:bgClr>
            </a:pattFill>
            <a:ln w="3175">
              <a:solidFill>
                <a:srgbClr xmlns:mc="http://schemas.openxmlformats.org/markup-compatibility/2006" xmlns:a14="http://schemas.microsoft.com/office/drawing/2010/main" val="000000" mc:Ignorable="a14" a14:legacySpreadsheetColorIndex="64"/>
              </a:solidFill>
            </a:ln>
          </c:spPr>
          <c:invertIfNegative val="0"/>
          <c:dLbls>
            <c:dLbl>
              <c:idx val="0"/>
              <c:layout>
                <c:manualLayout>
                  <c:x val="0"/>
                  <c:y val="0.2325896898786434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AB-4D78-946E-9CFC7383A93E}"/>
                </c:ext>
              </c:extLst>
            </c:dLbl>
            <c:dLbl>
              <c:idx val="1"/>
              <c:layout>
                <c:manualLayout>
                  <c:x val="0"/>
                  <c:y val="0.258312843030054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AB-4D78-946E-9CFC7383A93E}"/>
                </c:ext>
              </c:extLst>
            </c:dLbl>
            <c:dLbl>
              <c:idx val="2"/>
              <c:layout>
                <c:manualLayout>
                  <c:x val="0"/>
                  <c:y val="0.2908891065924350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AB-4D78-946E-9CFC7383A93E}"/>
                </c:ext>
              </c:extLst>
            </c:dLbl>
            <c:numFmt formatCode="#,##0_);[Red]\(#,##0\)" sourceLinked="0"/>
            <c:spPr>
              <a:solidFill>
                <a:schemeClr val="bg1"/>
              </a:solidFill>
            </c:spPr>
            <c:txPr>
              <a:bodyPr rot="0"/>
              <a:lstStyle/>
              <a:p>
                <a:pPr algn="ctr" rtl="0">
                  <a:defRPr sz="700"/>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高齢者世帯!$A$34:$A$40</c:f>
              <c:strCache>
                <c:ptCount val="7"/>
                <c:pt idx="0">
                  <c:v>昭和
63年</c:v>
                </c:pt>
                <c:pt idx="1">
                  <c:v>平成
 5年</c:v>
                </c:pt>
                <c:pt idx="2">
                  <c:v>10年</c:v>
                </c:pt>
                <c:pt idx="3">
                  <c:v>15年</c:v>
                </c:pt>
                <c:pt idx="4">
                  <c:v>20年</c:v>
                </c:pt>
                <c:pt idx="5">
                  <c:v>25年</c:v>
                </c:pt>
                <c:pt idx="6">
                  <c:v>30年</c:v>
                </c:pt>
              </c:strCache>
            </c:strRef>
          </c:cat>
          <c:val>
            <c:numRef>
              <c:f>高齢者世帯!$B$34:$B$40</c:f>
              <c:numCache>
                <c:formatCode>#,##0.000;[Red]\-#,##0.000</c:formatCode>
                <c:ptCount val="7"/>
                <c:pt idx="0">
                  <c:v>127.8</c:v>
                </c:pt>
                <c:pt idx="1">
                  <c:v>151.80000000000001</c:v>
                </c:pt>
                <c:pt idx="2">
                  <c:v>177.4</c:v>
                </c:pt>
                <c:pt idx="3">
                  <c:v>195.4</c:v>
                </c:pt>
                <c:pt idx="4">
                  <c:v>205.8</c:v>
                </c:pt>
                <c:pt idx="5">
                  <c:v>212.7</c:v>
                </c:pt>
                <c:pt idx="6">
                  <c:v>217.9</c:v>
                </c:pt>
              </c:numCache>
            </c:numRef>
          </c:val>
          <c:extLst>
            <c:ext xmlns:c16="http://schemas.microsoft.com/office/drawing/2014/chart" uri="{C3380CC4-5D6E-409C-BE32-E72D297353CC}">
              <c16:uniqueId val="{00000000-5D2C-411D-B38E-BBC75A784F70}"/>
            </c:ext>
          </c:extLst>
        </c:ser>
        <c:dLbls>
          <c:showLegendKey val="0"/>
          <c:showVal val="0"/>
          <c:showCatName val="0"/>
          <c:showSerName val="0"/>
          <c:showPercent val="0"/>
          <c:showBubbleSize val="0"/>
        </c:dLbls>
        <c:gapWidth val="55"/>
        <c:axId val="61140352"/>
        <c:axId val="61138432"/>
      </c:barChart>
      <c:lineChart>
        <c:grouping val="standard"/>
        <c:varyColors val="0"/>
        <c:ser>
          <c:idx val="1"/>
          <c:order val="1"/>
          <c:tx>
            <c:strRef>
              <c:f>高齢者世帯!$C$33</c:f>
              <c:strCache>
                <c:ptCount val="1"/>
                <c:pt idx="0">
                  <c:v>秋田県</c:v>
                </c:pt>
              </c:strCache>
            </c:strRef>
          </c:tx>
          <c:spPr>
            <a:ln w="3175">
              <a:solidFill>
                <a:srgbClr xmlns:mc="http://schemas.openxmlformats.org/markup-compatibility/2006" xmlns:a14="http://schemas.microsoft.com/office/drawing/2010/main" val="000000" mc:Ignorable="a14" a14:legacySpreadsheetColorIndex="64"/>
              </a:solidFill>
            </a:ln>
          </c:spPr>
          <c:marker>
            <c:symbol val="square"/>
            <c:size val="4"/>
            <c:spPr>
              <a:solidFill>
                <a:schemeClr val="tx1"/>
              </a:solidFill>
              <a:ln>
                <a:solidFill>
                  <a:schemeClr val="accent5"/>
                </a:solidFill>
              </a:ln>
            </c:spPr>
          </c:marker>
          <c:dLbls>
            <c:numFmt formatCode="#,##0.0_);[Red]\(#,##0.0\)" sourceLinked="0"/>
            <c:spPr>
              <a:solidFill>
                <a:schemeClr val="bg1"/>
              </a:solidFill>
            </c:spPr>
            <c:txPr>
              <a:bodyPr rot="0"/>
              <a:lstStyle/>
              <a:p>
                <a:pPr algn="ctr" rtl="0">
                  <a:defRPr sz="7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高齢者世帯!$A$34:$A$40</c:f>
              <c:strCache>
                <c:ptCount val="7"/>
                <c:pt idx="0">
                  <c:v>昭和
63年</c:v>
                </c:pt>
                <c:pt idx="1">
                  <c:v>平成
 5年</c:v>
                </c:pt>
                <c:pt idx="2">
                  <c:v>10年</c:v>
                </c:pt>
                <c:pt idx="3">
                  <c:v>15年</c:v>
                </c:pt>
                <c:pt idx="4">
                  <c:v>20年</c:v>
                </c:pt>
                <c:pt idx="5">
                  <c:v>25年</c:v>
                </c:pt>
                <c:pt idx="6">
                  <c:v>30年</c:v>
                </c:pt>
              </c:strCache>
            </c:strRef>
          </c:cat>
          <c:val>
            <c:numRef>
              <c:f>高齢者世帯!$C$34:$C$40</c:f>
              <c:numCache>
                <c:formatCode>0.0</c:formatCode>
                <c:ptCount val="7"/>
                <c:pt idx="0">
                  <c:v>37.665782493368702</c:v>
                </c:pt>
                <c:pt idx="1">
                  <c:v>43.198634035287419</c:v>
                </c:pt>
                <c:pt idx="2">
                  <c:v>47.471233609847467</c:v>
                </c:pt>
                <c:pt idx="3">
                  <c:v>51.11169238817682</c:v>
                </c:pt>
                <c:pt idx="4">
                  <c:v>54.115172232448074</c:v>
                </c:pt>
                <c:pt idx="5">
                  <c:v>54.678663239074552</c:v>
                </c:pt>
                <c:pt idx="6">
                  <c:v>56.774361999999996</c:v>
                </c:pt>
              </c:numCache>
            </c:numRef>
          </c:val>
          <c:smooth val="0"/>
          <c:extLst>
            <c:ext xmlns:c16="http://schemas.microsoft.com/office/drawing/2014/chart" uri="{C3380CC4-5D6E-409C-BE32-E72D297353CC}">
              <c16:uniqueId val="{00000001-5D2C-411D-B38E-BBC75A784F70}"/>
            </c:ext>
          </c:extLst>
        </c:ser>
        <c:ser>
          <c:idx val="2"/>
          <c:order val="2"/>
          <c:tx>
            <c:strRef>
              <c:f>高齢者世帯!$D$33</c:f>
              <c:strCache>
                <c:ptCount val="1"/>
                <c:pt idx="0">
                  <c:v>全　国</c:v>
                </c:pt>
              </c:strCache>
            </c:strRef>
          </c:tx>
          <c:spPr>
            <a:ln w="6350">
              <a:solidFill>
                <a:schemeClr val="tx1"/>
              </a:solidFill>
              <a:prstDash val="sysDash"/>
            </a:ln>
          </c:spPr>
          <c:marker>
            <c:symbol val="triangle"/>
            <c:size val="5"/>
            <c:spPr>
              <a:solidFill>
                <a:schemeClr val="tx1"/>
              </a:solidFill>
              <a:ln>
                <a:solidFill>
                  <a:schemeClr val="accent5"/>
                </a:solidFill>
              </a:ln>
            </c:spPr>
          </c:marker>
          <c:dPt>
            <c:idx val="0"/>
            <c:bubble3D val="0"/>
            <c:extLst>
              <c:ext xmlns:c16="http://schemas.microsoft.com/office/drawing/2014/chart" uri="{C3380CC4-5D6E-409C-BE32-E72D297353CC}">
                <c16:uniqueId val="{00000002-5D2C-411D-B38E-BBC75A784F70}"/>
              </c:ext>
            </c:extLst>
          </c:dPt>
          <c:dPt>
            <c:idx val="1"/>
            <c:bubble3D val="0"/>
            <c:extLst>
              <c:ext xmlns:c16="http://schemas.microsoft.com/office/drawing/2014/chart" uri="{C3380CC4-5D6E-409C-BE32-E72D297353CC}">
                <c16:uniqueId val="{00000003-5D2C-411D-B38E-BBC75A784F70}"/>
              </c:ext>
            </c:extLst>
          </c:dPt>
          <c:dLbls>
            <c:dLbl>
              <c:idx val="0"/>
              <c:layout>
                <c:manualLayout>
                  <c:x val="-4.0830996913406817E-2"/>
                  <c:y val="4.4911407172762936E-2"/>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2C-411D-B38E-BBC75A784F70}"/>
                </c:ext>
              </c:extLst>
            </c:dLbl>
            <c:dLbl>
              <c:idx val="1"/>
              <c:layout>
                <c:manualLayout>
                  <c:x val="-4.1012485233890651E-2"/>
                  <c:y val="4.5134420561531025E-2"/>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2C-411D-B38E-BBC75A784F70}"/>
                </c:ext>
              </c:extLst>
            </c:dLbl>
            <c:spPr>
              <a:solidFill>
                <a:schemeClr val="bg1"/>
              </a:solidFill>
            </c:spPr>
            <c:txPr>
              <a:bodyPr rot="0"/>
              <a:lstStyle/>
              <a:p>
                <a:pPr algn="ctr" rtl="0">
                  <a:defRPr sz="7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高齢者世帯!$A$34:$A$40</c:f>
              <c:strCache>
                <c:ptCount val="7"/>
                <c:pt idx="0">
                  <c:v>昭和
63年</c:v>
                </c:pt>
                <c:pt idx="1">
                  <c:v>平成
 5年</c:v>
                </c:pt>
                <c:pt idx="2">
                  <c:v>10年</c:v>
                </c:pt>
                <c:pt idx="3">
                  <c:v>15年</c:v>
                </c:pt>
                <c:pt idx="4">
                  <c:v>20年</c:v>
                </c:pt>
                <c:pt idx="5">
                  <c:v>25年</c:v>
                </c:pt>
                <c:pt idx="6">
                  <c:v>30年</c:v>
                </c:pt>
              </c:strCache>
            </c:strRef>
          </c:cat>
          <c:val>
            <c:numRef>
              <c:f>高齢者世帯!$D$34:$D$40</c:f>
              <c:numCache>
                <c:formatCode>0.0</c:formatCode>
                <c:ptCount val="7"/>
                <c:pt idx="0">
                  <c:v>26.5</c:v>
                </c:pt>
                <c:pt idx="1">
                  <c:v>28.9</c:v>
                </c:pt>
                <c:pt idx="2">
                  <c:v>31.5</c:v>
                </c:pt>
                <c:pt idx="3">
                  <c:v>35</c:v>
                </c:pt>
                <c:pt idx="4">
                  <c:v>36.700000000000003</c:v>
                </c:pt>
                <c:pt idx="5">
                  <c:v>40</c:v>
                </c:pt>
                <c:pt idx="6" formatCode="General">
                  <c:v>42.1</c:v>
                </c:pt>
              </c:numCache>
            </c:numRef>
          </c:val>
          <c:smooth val="0"/>
          <c:extLst>
            <c:ext xmlns:c16="http://schemas.microsoft.com/office/drawing/2014/chart" uri="{C3380CC4-5D6E-409C-BE32-E72D297353CC}">
              <c16:uniqueId val="{00000004-5D2C-411D-B38E-BBC75A784F70}"/>
            </c:ext>
          </c:extLst>
        </c:ser>
        <c:dLbls>
          <c:showLegendKey val="0"/>
          <c:showVal val="0"/>
          <c:showCatName val="0"/>
          <c:showSerName val="0"/>
          <c:showPercent val="0"/>
          <c:showBubbleSize val="0"/>
        </c:dLbls>
        <c:marker val="1"/>
        <c:smooth val="0"/>
        <c:axId val="42219776"/>
        <c:axId val="42221568"/>
      </c:lineChart>
      <c:catAx>
        <c:axId val="61140352"/>
        <c:scaling>
          <c:orientation val="minMax"/>
        </c:scaling>
        <c:delete val="0"/>
        <c:axPos val="b"/>
        <c:numFmt formatCode="General" sourceLinked="1"/>
        <c:majorTickMark val="in"/>
        <c:minorTickMark val="none"/>
        <c:tickLblPos val="nextTo"/>
        <c:spPr>
          <a:ln>
            <a:solidFill>
              <a:schemeClr val="tx1"/>
            </a:solidFill>
          </a:ln>
        </c:spPr>
        <c:txPr>
          <a:bodyPr rot="0"/>
          <a:lstStyle/>
          <a:p>
            <a:pPr algn="ctr" rtl="0">
              <a:defRPr sz="800"/>
            </a:pPr>
            <a:endParaRPr lang="ja-JP"/>
          </a:p>
        </c:txPr>
        <c:crossAx val="61138432"/>
        <c:crosses val="autoZero"/>
        <c:auto val="1"/>
        <c:lblAlgn val="ctr"/>
        <c:lblOffset val="100"/>
        <c:noMultiLvlLbl val="0"/>
      </c:catAx>
      <c:valAx>
        <c:axId val="61138432"/>
        <c:scaling>
          <c:orientation val="minMax"/>
        </c:scaling>
        <c:delete val="0"/>
        <c:axPos val="l"/>
        <c:numFmt formatCode="#,##0_);[Red]\(#,##0\)" sourceLinked="0"/>
        <c:majorTickMark val="in"/>
        <c:minorTickMark val="none"/>
        <c:tickLblPos val="nextTo"/>
        <c:spPr>
          <a:ln>
            <a:solidFill>
              <a:schemeClr val="tx1"/>
            </a:solidFill>
          </a:ln>
        </c:spPr>
        <c:txPr>
          <a:bodyPr/>
          <a:lstStyle/>
          <a:p>
            <a:pPr algn="ctr" rtl="0">
              <a:defRPr sz="900"/>
            </a:pPr>
            <a:endParaRPr lang="ja-JP"/>
          </a:p>
        </c:txPr>
        <c:crossAx val="61140352"/>
        <c:crosses val="autoZero"/>
        <c:crossBetween val="between"/>
      </c:valAx>
      <c:catAx>
        <c:axId val="42219776"/>
        <c:scaling>
          <c:orientation val="minMax"/>
        </c:scaling>
        <c:delete val="1"/>
        <c:axPos val="b"/>
        <c:numFmt formatCode="General" sourceLinked="1"/>
        <c:majorTickMark val="out"/>
        <c:minorTickMark val="none"/>
        <c:tickLblPos val="nextTo"/>
        <c:crossAx val="42221568"/>
        <c:crosses val="autoZero"/>
        <c:auto val="1"/>
        <c:lblAlgn val="ctr"/>
        <c:lblOffset val="100"/>
        <c:noMultiLvlLbl val="0"/>
      </c:catAx>
      <c:valAx>
        <c:axId val="42221568"/>
        <c:scaling>
          <c:orientation val="minMax"/>
          <c:max val="60"/>
        </c:scaling>
        <c:delete val="0"/>
        <c:axPos val="r"/>
        <c:title>
          <c:tx>
            <c:rich>
              <a:bodyPr vert="wordArtVertRtl"/>
              <a:lstStyle/>
              <a:p>
                <a:pPr algn="ctr" rtl="0">
                  <a:defRPr sz="700"/>
                </a:pPr>
                <a:r>
                  <a:rPr lang="ja-JP" sz="700"/>
                  <a:t>主世帯総数に占める割合（％）</a:t>
                </a:r>
              </a:p>
            </c:rich>
          </c:tx>
          <c:layout>
            <c:manualLayout>
              <c:xMode val="edge"/>
              <c:yMode val="edge"/>
              <c:x val="0.94134068241469815"/>
              <c:y val="0.22108009226119463"/>
            </c:manualLayout>
          </c:layout>
          <c:overlay val="0"/>
        </c:title>
        <c:numFmt formatCode="#,##0_);[Red]\(#,##0\)" sourceLinked="0"/>
        <c:majorTickMark val="in"/>
        <c:minorTickMark val="none"/>
        <c:tickLblPos val="nextTo"/>
        <c:spPr>
          <a:ln>
            <a:solidFill>
              <a:schemeClr val="tx1"/>
            </a:solidFill>
          </a:ln>
        </c:spPr>
        <c:txPr>
          <a:bodyPr/>
          <a:lstStyle/>
          <a:p>
            <a:pPr algn="ctr" rtl="0">
              <a:defRPr sz="800"/>
            </a:pPr>
            <a:endParaRPr lang="ja-JP"/>
          </a:p>
        </c:txPr>
        <c:crossAx val="42219776"/>
        <c:crosses val="max"/>
        <c:crossBetween val="between"/>
      </c:valAx>
      <c:spPr>
        <a:ln>
          <a:solidFill>
            <a:schemeClr val="tx1"/>
          </a:solidFill>
        </a:ln>
      </c:spPr>
    </c:plotArea>
    <c:legend>
      <c:legendPos val="t"/>
      <c:legendEntry>
        <c:idx val="0"/>
        <c:delete val="1"/>
      </c:legendEntry>
      <c:layout>
        <c:manualLayout>
          <c:xMode val="edge"/>
          <c:yMode val="edge"/>
          <c:x val="0.13529411764705879"/>
          <c:y val="0.15909090909090909"/>
          <c:w val="0.2411764705882353"/>
          <c:h val="9.8484848484848481E-2"/>
        </c:manualLayout>
      </c:layout>
      <c:overlay val="0"/>
      <c:spPr>
        <a:solidFill>
          <a:schemeClr val="bg1"/>
        </a:solidFill>
        <a:ln w="3175">
          <a:solidFill>
            <a:schemeClr val="tx1"/>
          </a:solidFill>
        </a:ln>
      </c:spPr>
      <c:txPr>
        <a:bodyPr/>
        <a:lstStyle/>
        <a:p>
          <a:pPr algn="l" rtl="0">
            <a:defRPr sz="600"/>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700"/>
            </a:pPr>
            <a:r>
              <a:rPr lang="ja-JP" sz="700"/>
              <a:t>図１１－２　</a:t>
            </a:r>
            <a:r>
              <a:rPr lang="en-US" sz="700"/>
              <a:t>75</a:t>
            </a:r>
            <a:r>
              <a:rPr lang="ja-JP" sz="700"/>
              <a:t>歳以上世帯員のいる世帯の推移</a:t>
            </a:r>
            <a:endParaRPr lang="en-US" sz="700"/>
          </a:p>
          <a:p>
            <a:pPr algn="ctr" rtl="0">
              <a:defRPr sz="700"/>
            </a:pPr>
            <a:r>
              <a:rPr lang="ja-JP" sz="700"/>
              <a:t>　　　　　－秋田県（昭和</a:t>
            </a:r>
            <a:r>
              <a:rPr lang="en-US" sz="700"/>
              <a:t>63</a:t>
            </a:r>
            <a:r>
              <a:rPr lang="ja-JP" sz="700"/>
              <a:t>年～平成30年）</a:t>
            </a:r>
          </a:p>
        </c:rich>
      </c:tx>
      <c:layout>
        <c:manualLayout>
          <c:xMode val="edge"/>
          <c:yMode val="edge"/>
          <c:x val="0.17766859142607175"/>
          <c:y val="1.007953251126628E-2"/>
        </c:manualLayout>
      </c:layout>
      <c:overlay val="0"/>
    </c:title>
    <c:autoTitleDeleted val="0"/>
    <c:plotArea>
      <c:layout>
        <c:manualLayout>
          <c:layoutTarget val="inner"/>
          <c:xMode val="edge"/>
          <c:yMode val="edge"/>
          <c:x val="0.10934537037037036"/>
          <c:y val="0.20561904761904759"/>
          <c:w val="0.75626203703703709"/>
          <c:h val="0.63121269841269845"/>
        </c:manualLayout>
      </c:layout>
      <c:barChart>
        <c:barDir val="col"/>
        <c:grouping val="clustered"/>
        <c:varyColors val="0"/>
        <c:ser>
          <c:idx val="0"/>
          <c:order val="0"/>
          <c:tx>
            <c:strRef>
              <c:f>高齢者世帯!$B$47</c:f>
              <c:strCache>
                <c:ptCount val="1"/>
                <c:pt idx="0">
                  <c:v>75歳以上世帯員のいる世帯数</c:v>
                </c:pt>
              </c:strCache>
            </c:strRef>
          </c:tx>
          <c:spPr>
            <a:pattFill prst="pct25">
              <a:fgClr>
                <a:schemeClr val="accent5"/>
              </a:fgClr>
              <a:bgClr>
                <a:schemeClr val="bg1"/>
              </a:bgClr>
            </a:pattFill>
            <a:ln w="3175">
              <a:solidFill>
                <a:srgbClr xmlns:mc="http://schemas.openxmlformats.org/markup-compatibility/2006" xmlns:a14="http://schemas.microsoft.com/office/drawing/2010/main" val="000000" mc:Ignorable="a14" a14:legacySpreadsheetColorIndex="64"/>
              </a:solidFill>
            </a:ln>
          </c:spPr>
          <c:invertIfNegative val="0"/>
          <c:dLbls>
            <c:dLbl>
              <c:idx val="0"/>
              <c:layout>
                <c:manualLayout>
                  <c:x val="-1.8628436538507114E-17"/>
                  <c:y val="0.1711669478986866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2A-47C4-805A-C25175CC8101}"/>
                </c:ext>
              </c:extLst>
            </c:dLbl>
            <c:dLbl>
              <c:idx val="1"/>
              <c:layout>
                <c:manualLayout>
                  <c:x val="0"/>
                  <c:y val="0.196836244075258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2A-47C4-805A-C25175CC8101}"/>
                </c:ext>
              </c:extLst>
            </c:dLbl>
            <c:dLbl>
              <c:idx val="2"/>
              <c:layout>
                <c:manualLayout>
                  <c:x val="0"/>
                  <c:y val="0.221265692007131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2A-47C4-805A-C25175CC8101}"/>
                </c:ext>
              </c:extLst>
            </c:dLbl>
            <c:numFmt formatCode="#,##0_);[Red]\(#,##0\)" sourceLinked="0"/>
            <c:spPr>
              <a:solidFill>
                <a:schemeClr val="bg1"/>
              </a:solidFill>
            </c:spPr>
            <c:txPr>
              <a:bodyPr rot="0"/>
              <a:lstStyle/>
              <a:p>
                <a:pPr algn="ctr" rtl="0">
                  <a:defRPr sz="600"/>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高齢者世帯!$A$48:$A$54</c:f>
              <c:strCache>
                <c:ptCount val="7"/>
                <c:pt idx="0">
                  <c:v>昭和
63年</c:v>
                </c:pt>
                <c:pt idx="1">
                  <c:v>平成
 5年</c:v>
                </c:pt>
                <c:pt idx="2">
                  <c:v>10年</c:v>
                </c:pt>
                <c:pt idx="3">
                  <c:v>15年</c:v>
                </c:pt>
                <c:pt idx="4">
                  <c:v>20年</c:v>
                </c:pt>
                <c:pt idx="5">
                  <c:v>25年</c:v>
                </c:pt>
                <c:pt idx="6">
                  <c:v>30年</c:v>
                </c:pt>
              </c:strCache>
            </c:strRef>
          </c:cat>
          <c:val>
            <c:numRef>
              <c:f>高齢者世帯!$B$48:$B$54</c:f>
              <c:numCache>
                <c:formatCode>0.0</c:formatCode>
                <c:ptCount val="7"/>
                <c:pt idx="0">
                  <c:v>54</c:v>
                </c:pt>
                <c:pt idx="1">
                  <c:v>66.2</c:v>
                </c:pt>
                <c:pt idx="2">
                  <c:v>80.099999999999994</c:v>
                </c:pt>
                <c:pt idx="3">
                  <c:v>101.3</c:v>
                </c:pt>
                <c:pt idx="4">
                  <c:v>120.4</c:v>
                </c:pt>
                <c:pt idx="5">
                  <c:v>131</c:v>
                </c:pt>
                <c:pt idx="6">
                  <c:v>130.1</c:v>
                </c:pt>
              </c:numCache>
            </c:numRef>
          </c:val>
          <c:extLst>
            <c:ext xmlns:c16="http://schemas.microsoft.com/office/drawing/2014/chart" uri="{C3380CC4-5D6E-409C-BE32-E72D297353CC}">
              <c16:uniqueId val="{00000000-9D2F-4502-B5A2-0015D1B619AA}"/>
            </c:ext>
          </c:extLst>
        </c:ser>
        <c:dLbls>
          <c:showLegendKey val="0"/>
          <c:showVal val="0"/>
          <c:showCatName val="0"/>
          <c:showSerName val="0"/>
          <c:showPercent val="0"/>
          <c:showBubbleSize val="0"/>
        </c:dLbls>
        <c:gapWidth val="55"/>
        <c:axId val="42870656"/>
        <c:axId val="42872192"/>
      </c:barChart>
      <c:lineChart>
        <c:grouping val="standard"/>
        <c:varyColors val="0"/>
        <c:ser>
          <c:idx val="1"/>
          <c:order val="1"/>
          <c:tx>
            <c:strRef>
              <c:f>高齢者世帯!$C$47</c:f>
              <c:strCache>
                <c:ptCount val="1"/>
                <c:pt idx="0">
                  <c:v>秋田県</c:v>
                </c:pt>
              </c:strCache>
            </c:strRef>
          </c:tx>
          <c:spPr>
            <a:ln w="3175">
              <a:solidFill>
                <a:srgbClr xmlns:mc="http://schemas.openxmlformats.org/markup-compatibility/2006" xmlns:a14="http://schemas.microsoft.com/office/drawing/2010/main" val="000000" mc:Ignorable="a14" a14:legacySpreadsheetColorIndex="64"/>
              </a:solidFill>
            </a:ln>
          </c:spPr>
          <c:marker>
            <c:symbol val="square"/>
            <c:size val="4"/>
            <c:spPr>
              <a:solidFill>
                <a:schemeClr val="tx1"/>
              </a:solidFill>
              <a:ln>
                <a:solidFill>
                  <a:schemeClr val="accent5"/>
                </a:solidFill>
              </a:ln>
            </c:spPr>
          </c:marker>
          <c:dLbls>
            <c:dLbl>
              <c:idx val="2"/>
              <c:layout>
                <c:manualLayout>
                  <c:x val="-6.0296025144439394E-2"/>
                  <c:y val="-5.2731667484003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2A-47C4-805A-C25175CC8101}"/>
                </c:ext>
              </c:extLst>
            </c:dLbl>
            <c:dLbl>
              <c:idx val="3"/>
              <c:layout>
                <c:manualLayout>
                  <c:x val="-6.0296025144439394E-2"/>
                  <c:y val="-5.75484532618173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2A-47C4-805A-C25175CC8101}"/>
                </c:ext>
              </c:extLst>
            </c:dLbl>
            <c:numFmt formatCode="#,##0.0_);[Red]\(#,##0.0\)" sourceLinked="0"/>
            <c:spPr>
              <a:solidFill>
                <a:schemeClr val="bg1"/>
              </a:solidFill>
            </c:spPr>
            <c:txPr>
              <a:bodyPr rot="0"/>
              <a:lstStyle/>
              <a:p>
                <a:pPr algn="ctr" rtl="0">
                  <a:defRPr sz="6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高齢者世帯!$A$48:$A$54</c:f>
              <c:strCache>
                <c:ptCount val="7"/>
                <c:pt idx="0">
                  <c:v>昭和
63年</c:v>
                </c:pt>
                <c:pt idx="1">
                  <c:v>平成
 5年</c:v>
                </c:pt>
                <c:pt idx="2">
                  <c:v>10年</c:v>
                </c:pt>
                <c:pt idx="3">
                  <c:v>15年</c:v>
                </c:pt>
                <c:pt idx="4">
                  <c:v>20年</c:v>
                </c:pt>
                <c:pt idx="5">
                  <c:v>25年</c:v>
                </c:pt>
                <c:pt idx="6">
                  <c:v>30年</c:v>
                </c:pt>
              </c:strCache>
            </c:strRef>
          </c:cat>
          <c:val>
            <c:numRef>
              <c:f>高齢者世帯!$C$48:$C$54</c:f>
              <c:numCache>
                <c:formatCode>0.0</c:formatCode>
                <c:ptCount val="7"/>
                <c:pt idx="0">
                  <c:v>15.915119363395224</c:v>
                </c:pt>
                <c:pt idx="1">
                  <c:v>18.838929994308483</c:v>
                </c:pt>
                <c:pt idx="2">
                  <c:v>21.434305592721433</c:v>
                </c:pt>
                <c:pt idx="3">
                  <c:v>26.497515040544073</c:v>
                </c:pt>
                <c:pt idx="4">
                  <c:v>31.659216408098867</c:v>
                </c:pt>
                <c:pt idx="5">
                  <c:v>33.676092544987149</c:v>
                </c:pt>
                <c:pt idx="6">
                  <c:v>33.897863399999999</c:v>
                </c:pt>
              </c:numCache>
            </c:numRef>
          </c:val>
          <c:smooth val="0"/>
          <c:extLst>
            <c:ext xmlns:c16="http://schemas.microsoft.com/office/drawing/2014/chart" uri="{C3380CC4-5D6E-409C-BE32-E72D297353CC}">
              <c16:uniqueId val="{00000001-9D2F-4502-B5A2-0015D1B619AA}"/>
            </c:ext>
          </c:extLst>
        </c:ser>
        <c:ser>
          <c:idx val="2"/>
          <c:order val="2"/>
          <c:tx>
            <c:strRef>
              <c:f>高齢者世帯!$D$47</c:f>
              <c:strCache>
                <c:ptCount val="1"/>
                <c:pt idx="0">
                  <c:v>全　国</c:v>
                </c:pt>
              </c:strCache>
            </c:strRef>
          </c:tx>
          <c:spPr>
            <a:ln w="3175">
              <a:solidFill>
                <a:srgbClr xmlns:mc="http://schemas.openxmlformats.org/markup-compatibility/2006" xmlns:a14="http://schemas.microsoft.com/office/drawing/2010/main" val="000000" mc:Ignorable="a14" a14:legacySpreadsheetColorIndex="64"/>
              </a:solidFill>
              <a:prstDash val="sysDash"/>
            </a:ln>
          </c:spPr>
          <c:marker>
            <c:symbol val="triangle"/>
            <c:size val="5"/>
            <c:spPr>
              <a:solidFill>
                <a:schemeClr val="tx1"/>
              </a:solidFill>
              <a:ln>
                <a:solidFill>
                  <a:schemeClr val="accent5"/>
                </a:solidFill>
              </a:ln>
            </c:spPr>
          </c:marker>
          <c:dPt>
            <c:idx val="0"/>
            <c:bubble3D val="0"/>
            <c:extLst>
              <c:ext xmlns:c16="http://schemas.microsoft.com/office/drawing/2014/chart" uri="{C3380CC4-5D6E-409C-BE32-E72D297353CC}">
                <c16:uniqueId val="{00000002-9D2F-4502-B5A2-0015D1B619AA}"/>
              </c:ext>
            </c:extLst>
          </c:dPt>
          <c:dPt>
            <c:idx val="1"/>
            <c:bubble3D val="0"/>
            <c:extLst>
              <c:ext xmlns:c16="http://schemas.microsoft.com/office/drawing/2014/chart" uri="{C3380CC4-5D6E-409C-BE32-E72D297353CC}">
                <c16:uniqueId val="{00000003-9D2F-4502-B5A2-0015D1B619AA}"/>
              </c:ext>
            </c:extLst>
          </c:dPt>
          <c:dPt>
            <c:idx val="2"/>
            <c:bubble3D val="0"/>
            <c:extLst>
              <c:ext xmlns:c16="http://schemas.microsoft.com/office/drawing/2014/chart" uri="{C3380CC4-5D6E-409C-BE32-E72D297353CC}">
                <c16:uniqueId val="{00000004-9D2F-4502-B5A2-0015D1B619AA}"/>
              </c:ext>
            </c:extLst>
          </c:dPt>
          <c:dLbls>
            <c:dLbl>
              <c:idx val="0"/>
              <c:layout>
                <c:manualLayout>
                  <c:x val="-1.0612962962962963E-2"/>
                  <c:y val="3.3904365079365083E-2"/>
                </c:manualLayout>
              </c:layout>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2F-4502-B5A2-0015D1B619AA}"/>
                </c:ext>
              </c:extLst>
            </c:dLbl>
            <c:dLbl>
              <c:idx val="1"/>
              <c:layout>
                <c:manualLayout>
                  <c:x val="-1.4532716049382752E-2"/>
                  <c:y val="3.3904365079365083E-2"/>
                </c:manualLayout>
              </c:layout>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2F-4502-B5A2-0015D1B619AA}"/>
                </c:ext>
              </c:extLst>
            </c:dLbl>
            <c:dLbl>
              <c:idx val="2"/>
              <c:layout>
                <c:manualLayout>
                  <c:x val="-1.0612962962962963E-2"/>
                  <c:y val="2.8864682539682541E-2"/>
                </c:manualLayout>
              </c:layout>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2F-4502-B5A2-0015D1B619AA}"/>
                </c:ext>
              </c:extLst>
            </c:dLbl>
            <c:spPr>
              <a:solidFill>
                <a:schemeClr val="bg1"/>
              </a:solidFill>
            </c:spPr>
            <c:txPr>
              <a:bodyPr rot="0"/>
              <a:lstStyle/>
              <a:p>
                <a:pPr algn="ctr" rtl="0">
                  <a:defRPr sz="6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高齢者世帯!$A$48:$A$54</c:f>
              <c:strCache>
                <c:ptCount val="7"/>
                <c:pt idx="0">
                  <c:v>昭和
63年</c:v>
                </c:pt>
                <c:pt idx="1">
                  <c:v>平成
 5年</c:v>
                </c:pt>
                <c:pt idx="2">
                  <c:v>10年</c:v>
                </c:pt>
                <c:pt idx="3">
                  <c:v>15年</c:v>
                </c:pt>
                <c:pt idx="4">
                  <c:v>20年</c:v>
                </c:pt>
                <c:pt idx="5">
                  <c:v>25年</c:v>
                </c:pt>
                <c:pt idx="6">
                  <c:v>30年</c:v>
                </c:pt>
              </c:strCache>
            </c:strRef>
          </c:cat>
          <c:val>
            <c:numRef>
              <c:f>高齢者世帯!$D$48:$D$54</c:f>
              <c:numCache>
                <c:formatCode>General</c:formatCode>
                <c:ptCount val="7"/>
                <c:pt idx="0">
                  <c:v>11.7</c:v>
                </c:pt>
                <c:pt idx="1">
                  <c:v>12.9</c:v>
                </c:pt>
                <c:pt idx="2">
                  <c:v>14.4</c:v>
                </c:pt>
                <c:pt idx="3" formatCode="0.0">
                  <c:v>17</c:v>
                </c:pt>
                <c:pt idx="4">
                  <c:v>18.8</c:v>
                </c:pt>
                <c:pt idx="5">
                  <c:v>21.1</c:v>
                </c:pt>
                <c:pt idx="6">
                  <c:v>22.8</c:v>
                </c:pt>
              </c:numCache>
            </c:numRef>
          </c:val>
          <c:smooth val="0"/>
          <c:extLst>
            <c:ext xmlns:c16="http://schemas.microsoft.com/office/drawing/2014/chart" uri="{C3380CC4-5D6E-409C-BE32-E72D297353CC}">
              <c16:uniqueId val="{00000005-9D2F-4502-B5A2-0015D1B619AA}"/>
            </c:ext>
          </c:extLst>
        </c:ser>
        <c:dLbls>
          <c:showLegendKey val="0"/>
          <c:showVal val="0"/>
          <c:showCatName val="0"/>
          <c:showSerName val="0"/>
          <c:showPercent val="0"/>
          <c:showBubbleSize val="0"/>
        </c:dLbls>
        <c:marker val="1"/>
        <c:smooth val="0"/>
        <c:axId val="42910848"/>
        <c:axId val="42912384"/>
      </c:lineChart>
      <c:catAx>
        <c:axId val="42870656"/>
        <c:scaling>
          <c:orientation val="minMax"/>
        </c:scaling>
        <c:delete val="0"/>
        <c:axPos val="b"/>
        <c:numFmt formatCode="General" sourceLinked="1"/>
        <c:majorTickMark val="in"/>
        <c:minorTickMark val="none"/>
        <c:tickLblPos val="nextTo"/>
        <c:spPr>
          <a:ln>
            <a:solidFill>
              <a:schemeClr val="tx1"/>
            </a:solidFill>
          </a:ln>
        </c:spPr>
        <c:txPr>
          <a:bodyPr rot="0"/>
          <a:lstStyle/>
          <a:p>
            <a:pPr algn="ctr" rtl="0">
              <a:defRPr sz="800"/>
            </a:pPr>
            <a:endParaRPr lang="ja-JP"/>
          </a:p>
        </c:txPr>
        <c:crossAx val="42872192"/>
        <c:crosses val="autoZero"/>
        <c:auto val="1"/>
        <c:lblAlgn val="ctr"/>
        <c:lblOffset val="100"/>
        <c:noMultiLvlLbl val="0"/>
      </c:catAx>
      <c:valAx>
        <c:axId val="42872192"/>
        <c:scaling>
          <c:orientation val="minMax"/>
          <c:max val="150"/>
        </c:scaling>
        <c:delete val="0"/>
        <c:axPos val="l"/>
        <c:numFmt formatCode="#,##0_);[Red]\(#,##0\)" sourceLinked="0"/>
        <c:majorTickMark val="in"/>
        <c:minorTickMark val="none"/>
        <c:tickLblPos val="nextTo"/>
        <c:spPr>
          <a:ln>
            <a:solidFill>
              <a:schemeClr val="tx1"/>
            </a:solidFill>
          </a:ln>
        </c:spPr>
        <c:txPr>
          <a:bodyPr/>
          <a:lstStyle/>
          <a:p>
            <a:pPr algn="ctr" rtl="0">
              <a:defRPr sz="800"/>
            </a:pPr>
            <a:endParaRPr lang="ja-JP"/>
          </a:p>
        </c:txPr>
        <c:crossAx val="42870656"/>
        <c:crosses val="autoZero"/>
        <c:crossBetween val="between"/>
        <c:majorUnit val="50"/>
      </c:valAx>
      <c:catAx>
        <c:axId val="42910848"/>
        <c:scaling>
          <c:orientation val="minMax"/>
        </c:scaling>
        <c:delete val="1"/>
        <c:axPos val="b"/>
        <c:numFmt formatCode="General" sourceLinked="1"/>
        <c:majorTickMark val="out"/>
        <c:minorTickMark val="none"/>
        <c:tickLblPos val="nextTo"/>
        <c:crossAx val="42912384"/>
        <c:crosses val="autoZero"/>
        <c:auto val="1"/>
        <c:lblAlgn val="ctr"/>
        <c:lblOffset val="100"/>
        <c:noMultiLvlLbl val="0"/>
      </c:catAx>
      <c:valAx>
        <c:axId val="42912384"/>
        <c:scaling>
          <c:orientation val="minMax"/>
          <c:max val="35"/>
        </c:scaling>
        <c:delete val="0"/>
        <c:axPos val="r"/>
        <c:title>
          <c:tx>
            <c:rich>
              <a:bodyPr vert="wordArtVertRtl"/>
              <a:lstStyle/>
              <a:p>
                <a:pPr algn="ctr" rtl="0">
                  <a:defRPr sz="700"/>
                </a:pPr>
                <a:r>
                  <a:rPr lang="ja-JP" sz="700"/>
                  <a:t>主世帯総数に占める割合（％）</a:t>
                </a:r>
              </a:p>
            </c:rich>
          </c:tx>
          <c:layout>
            <c:manualLayout>
              <c:xMode val="edge"/>
              <c:yMode val="edge"/>
              <c:x val="0.94134068241469815"/>
              <c:y val="0.22108017629871737"/>
            </c:manualLayout>
          </c:layout>
          <c:overlay val="0"/>
        </c:title>
        <c:numFmt formatCode="#,##0_);[Red]\(#,##0\)" sourceLinked="0"/>
        <c:majorTickMark val="in"/>
        <c:minorTickMark val="none"/>
        <c:tickLblPos val="nextTo"/>
        <c:spPr>
          <a:ln>
            <a:solidFill>
              <a:schemeClr val="tx1"/>
            </a:solidFill>
          </a:ln>
        </c:spPr>
        <c:txPr>
          <a:bodyPr/>
          <a:lstStyle/>
          <a:p>
            <a:pPr algn="ctr" rtl="0">
              <a:defRPr sz="800"/>
            </a:pPr>
            <a:endParaRPr lang="ja-JP"/>
          </a:p>
        </c:txPr>
        <c:crossAx val="42910848"/>
        <c:crosses val="max"/>
        <c:crossBetween val="between"/>
        <c:majorUnit val="5"/>
      </c:valAx>
      <c:spPr>
        <a:ln>
          <a:solidFill>
            <a:schemeClr val="tx1"/>
          </a:solidFill>
        </a:ln>
      </c:spPr>
    </c:plotArea>
    <c:legend>
      <c:legendPos val="t"/>
      <c:legendEntry>
        <c:idx val="0"/>
        <c:delete val="1"/>
      </c:legendEntry>
      <c:layout>
        <c:manualLayout>
          <c:xMode val="edge"/>
          <c:yMode val="edge"/>
          <c:x val="0.12056793656012901"/>
          <c:y val="0.15523949304825563"/>
          <c:w val="0.24929629629629629"/>
          <c:h val="0.10310912698412698"/>
        </c:manualLayout>
      </c:layout>
      <c:overlay val="0"/>
      <c:spPr>
        <a:solidFill>
          <a:schemeClr val="bg1"/>
        </a:solidFill>
        <a:ln w="3175">
          <a:solidFill>
            <a:schemeClr val="tx1"/>
          </a:solidFill>
        </a:ln>
      </c:spPr>
      <c:txPr>
        <a:bodyPr/>
        <a:lstStyle/>
        <a:p>
          <a:pPr algn="l" rtl="0">
            <a:defRPr sz="600"/>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図１１－３　高齢者のいる世帯の世帯の型別割合秋田県（昭和</a:t>
            </a:r>
            <a:r>
              <a:rPr lang="en-US" sz="800"/>
              <a:t>63</a:t>
            </a:r>
            <a:r>
              <a:rPr lang="ja-JP" sz="800"/>
              <a:t>年～平成30年）</a:t>
            </a:r>
          </a:p>
        </c:rich>
      </c:tx>
      <c:layout>
        <c:manualLayout>
          <c:xMode val="edge"/>
          <c:yMode val="edge"/>
          <c:x val="0.15163567817374626"/>
          <c:y val="1.2314094714360952E-2"/>
        </c:manualLayout>
      </c:layout>
      <c:overlay val="0"/>
    </c:title>
    <c:autoTitleDeleted val="0"/>
    <c:plotArea>
      <c:layout>
        <c:manualLayout>
          <c:layoutTarget val="inner"/>
          <c:xMode val="edge"/>
          <c:yMode val="edge"/>
          <c:x val="0.11220319547275402"/>
          <c:y val="0.17511453620868436"/>
          <c:w val="0.84377951388888894"/>
          <c:h val="0.74653456069324942"/>
        </c:manualLayout>
      </c:layout>
      <c:barChart>
        <c:barDir val="bar"/>
        <c:grouping val="percentStacked"/>
        <c:varyColors val="0"/>
        <c:ser>
          <c:idx val="0"/>
          <c:order val="0"/>
          <c:tx>
            <c:strRef>
              <c:f>高齢者世帯!$B$61</c:f>
              <c:strCache>
                <c:ptCount val="1"/>
                <c:pt idx="0">
                  <c:v>高齢単身主世帯</c:v>
                </c:pt>
              </c:strCache>
            </c:strRef>
          </c:tx>
          <c:spPr>
            <a:pattFill prst="pct10">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a:lstStyle/>
              <a:p>
                <a:pPr algn="ctr" rtl="0">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高齢者世帯!$A$62:$A$68</c:f>
              <c:strCache>
                <c:ptCount val="7"/>
                <c:pt idx="0">
                  <c:v>30年</c:v>
                </c:pt>
                <c:pt idx="1">
                  <c:v>25年</c:v>
                </c:pt>
                <c:pt idx="2">
                  <c:v>20年</c:v>
                </c:pt>
                <c:pt idx="3">
                  <c:v>15年</c:v>
                </c:pt>
                <c:pt idx="4">
                  <c:v>10年</c:v>
                </c:pt>
                <c:pt idx="5">
                  <c:v>平成5年</c:v>
                </c:pt>
                <c:pt idx="6">
                  <c:v>昭和63年</c:v>
                </c:pt>
              </c:strCache>
            </c:strRef>
          </c:cat>
          <c:val>
            <c:numRef>
              <c:f>高齢者世帯!$B$62:$B$68</c:f>
              <c:numCache>
                <c:formatCode>0.0</c:formatCode>
                <c:ptCount val="7"/>
                <c:pt idx="0">
                  <c:v>24.552547000000001</c:v>
                </c:pt>
                <c:pt idx="1">
                  <c:v>20.968500235072874</c:v>
                </c:pt>
                <c:pt idx="2">
                  <c:v>18.172983479105927</c:v>
                </c:pt>
                <c:pt idx="3">
                  <c:v>14.585465711361309</c:v>
                </c:pt>
                <c:pt idx="4">
                  <c:v>12.908680947012401</c:v>
                </c:pt>
                <c:pt idx="5">
                  <c:v>10.606060606060606</c:v>
                </c:pt>
                <c:pt idx="6">
                  <c:v>8.6854460093896719</c:v>
                </c:pt>
              </c:numCache>
            </c:numRef>
          </c:val>
          <c:extLst>
            <c:ext xmlns:c16="http://schemas.microsoft.com/office/drawing/2014/chart" uri="{C3380CC4-5D6E-409C-BE32-E72D297353CC}">
              <c16:uniqueId val="{00000000-2D56-4EEA-952E-8C0BA225AB2D}"/>
            </c:ext>
          </c:extLst>
        </c:ser>
        <c:ser>
          <c:idx val="1"/>
          <c:order val="1"/>
          <c:tx>
            <c:strRef>
              <c:f>高齢者世帯!$C$61</c:f>
              <c:strCache>
                <c:ptCount val="1"/>
                <c:pt idx="0">
                  <c:v>高齢者のいる夫婦のみの主世帯</c:v>
                </c:pt>
              </c:strCache>
            </c:strRef>
          </c:tx>
          <c:spPr>
            <a:pattFill prst="pct30">
              <a:fgClr>
                <a:schemeClr val="accent5"/>
              </a:fgClr>
              <a:bgClr>
                <a:schemeClr val="bg1"/>
              </a:bgClr>
            </a:pattFill>
            <a:ln w="3175">
              <a:solidFill>
                <a:schemeClr val="tx1"/>
              </a:solidFill>
              <a:prstDash val="solid"/>
            </a:ln>
          </c:spPr>
          <c:invertIfNegative val="0"/>
          <c:dLbls>
            <c:numFmt formatCode="#,##0.0_);[Red]\(#,##0.0\)" sourceLinked="0"/>
            <c:spPr>
              <a:solidFill>
                <a:schemeClr val="bg1"/>
              </a:solidFill>
            </c:spPr>
            <c:txPr>
              <a:bodyPr rot="0"/>
              <a:lstStyle/>
              <a:p>
                <a:pPr algn="ctr" rtl="0">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高齢者世帯!$A$62:$A$68</c:f>
              <c:strCache>
                <c:ptCount val="7"/>
                <c:pt idx="0">
                  <c:v>30年</c:v>
                </c:pt>
                <c:pt idx="1">
                  <c:v>25年</c:v>
                </c:pt>
                <c:pt idx="2">
                  <c:v>20年</c:v>
                </c:pt>
                <c:pt idx="3">
                  <c:v>15年</c:v>
                </c:pt>
                <c:pt idx="4">
                  <c:v>10年</c:v>
                </c:pt>
                <c:pt idx="5">
                  <c:v>平成5年</c:v>
                </c:pt>
                <c:pt idx="6">
                  <c:v>昭和63年</c:v>
                </c:pt>
              </c:strCache>
            </c:strRef>
          </c:cat>
          <c:val>
            <c:numRef>
              <c:f>高齢者世帯!$C$62:$C$68</c:f>
              <c:numCache>
                <c:formatCode>0.0</c:formatCode>
                <c:ptCount val="7"/>
                <c:pt idx="0">
                  <c:v>23.405231759999999</c:v>
                </c:pt>
                <c:pt idx="1">
                  <c:v>22.190879172543486</c:v>
                </c:pt>
                <c:pt idx="2">
                  <c:v>21.768707482993197</c:v>
                </c:pt>
                <c:pt idx="3">
                  <c:v>22.108495394063461</c:v>
                </c:pt>
                <c:pt idx="4">
                  <c:v>20.124013528748591</c:v>
                </c:pt>
                <c:pt idx="5">
                  <c:v>15.678524374176547</c:v>
                </c:pt>
                <c:pt idx="6">
                  <c:v>13.458528951486699</c:v>
                </c:pt>
              </c:numCache>
            </c:numRef>
          </c:val>
          <c:extLst>
            <c:ext xmlns:c16="http://schemas.microsoft.com/office/drawing/2014/chart" uri="{C3380CC4-5D6E-409C-BE32-E72D297353CC}">
              <c16:uniqueId val="{00000001-2D56-4EEA-952E-8C0BA225AB2D}"/>
            </c:ext>
          </c:extLst>
        </c:ser>
        <c:ser>
          <c:idx val="2"/>
          <c:order val="2"/>
          <c:tx>
            <c:strRef>
              <c:f>高齢者世帯!$D$61</c:f>
              <c:strCache>
                <c:ptCount val="1"/>
                <c:pt idx="0">
                  <c:v>高齢者のいるその他の主世帯</c:v>
                </c:pt>
              </c:strCache>
            </c:strRef>
          </c:tx>
          <c:spPr>
            <a:pattFill prst="ltDnDiag">
              <a:fgClr>
                <a:schemeClr val="accent5"/>
              </a:fgClr>
              <a:bgClr>
                <a:schemeClr val="bg1"/>
              </a:bgClr>
            </a:pattFill>
            <a:ln w="3175">
              <a:solidFill>
                <a:schemeClr val="tx1"/>
              </a:solidFill>
              <a:prstDash val="solid"/>
            </a:ln>
          </c:spPr>
          <c:invertIfNegative val="0"/>
          <c:dPt>
            <c:idx val="0"/>
            <c:invertIfNegative val="0"/>
            <c:bubble3D val="0"/>
            <c:extLst>
              <c:ext xmlns:c16="http://schemas.microsoft.com/office/drawing/2014/chart" uri="{C3380CC4-5D6E-409C-BE32-E72D297353CC}">
                <c16:uniqueId val="{00000002-2D56-4EEA-952E-8C0BA225AB2D}"/>
              </c:ext>
            </c:extLst>
          </c:dPt>
          <c:dPt>
            <c:idx val="6"/>
            <c:invertIfNegative val="0"/>
            <c:bubble3D val="0"/>
            <c:extLst>
              <c:ext xmlns:c16="http://schemas.microsoft.com/office/drawing/2014/chart" uri="{C3380CC4-5D6E-409C-BE32-E72D297353CC}">
                <c16:uniqueId val="{00000004-2D56-4EEA-952E-8C0BA225AB2D}"/>
              </c:ext>
            </c:extLst>
          </c:dPt>
          <c:dLbls>
            <c:dLbl>
              <c:idx val="0"/>
              <c:numFmt formatCode="#,##0.0_);[Red]\(#,##0.0\)" sourceLinked="0"/>
              <c:spPr>
                <a:solidFill>
                  <a:schemeClr val="bg1"/>
                </a:solidFill>
              </c:spPr>
              <c:txPr>
                <a:bodyPr/>
                <a:lstStyle/>
                <a:p>
                  <a:pPr>
                    <a:defRPr sz="600"/>
                  </a:pPr>
                  <a:endParaRPr lang="ja-JP"/>
                </a:p>
              </c:txPr>
              <c:showLegendKey val="0"/>
              <c:showVal val="1"/>
              <c:showCatName val="0"/>
              <c:showSerName val="0"/>
              <c:showPercent val="0"/>
              <c:showBubbleSize val="0"/>
              <c:extLst>
                <c:ext xmlns:c16="http://schemas.microsoft.com/office/drawing/2014/chart" uri="{C3380CC4-5D6E-409C-BE32-E72D297353CC}">
                  <c16:uniqueId val="{00000002-2D56-4EEA-952E-8C0BA225AB2D}"/>
                </c:ext>
              </c:extLst>
            </c:dLbl>
            <c:numFmt formatCode="#,##0.0_);[Red]\(#,##0.0\)" sourceLinked="0"/>
            <c:spPr>
              <a:solidFill>
                <a:schemeClr val="bg1"/>
              </a:solidFill>
            </c:spPr>
            <c:txPr>
              <a:bodyPr rot="0"/>
              <a:lstStyle/>
              <a:p>
                <a:pPr algn="ctr" rtl="0">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高齢者世帯!$A$62:$A$68</c:f>
              <c:strCache>
                <c:ptCount val="7"/>
                <c:pt idx="0">
                  <c:v>30年</c:v>
                </c:pt>
                <c:pt idx="1">
                  <c:v>25年</c:v>
                </c:pt>
                <c:pt idx="2">
                  <c:v>20年</c:v>
                </c:pt>
                <c:pt idx="3">
                  <c:v>15年</c:v>
                </c:pt>
                <c:pt idx="4">
                  <c:v>10年</c:v>
                </c:pt>
                <c:pt idx="5">
                  <c:v>平成5年</c:v>
                </c:pt>
                <c:pt idx="6">
                  <c:v>昭和63年</c:v>
                </c:pt>
              </c:strCache>
            </c:strRef>
          </c:cat>
          <c:val>
            <c:numRef>
              <c:f>高齢者世帯!$D$62:$D$68</c:f>
              <c:numCache>
                <c:formatCode>0.0</c:formatCode>
                <c:ptCount val="7"/>
                <c:pt idx="0">
                  <c:v>52.0422212</c:v>
                </c:pt>
                <c:pt idx="1">
                  <c:v>56.840620592383637</c:v>
                </c:pt>
                <c:pt idx="2">
                  <c:v>60.058309037900869</c:v>
                </c:pt>
                <c:pt idx="3">
                  <c:v>63.306038894575231</c:v>
                </c:pt>
                <c:pt idx="4">
                  <c:v>66.967305524239009</c:v>
                </c:pt>
                <c:pt idx="5">
                  <c:v>73.715415019762844</c:v>
                </c:pt>
                <c:pt idx="6">
                  <c:v>77.856025039123637</c:v>
                </c:pt>
              </c:numCache>
            </c:numRef>
          </c:val>
          <c:extLst>
            <c:ext xmlns:c16="http://schemas.microsoft.com/office/drawing/2014/chart" uri="{C3380CC4-5D6E-409C-BE32-E72D297353CC}">
              <c16:uniqueId val="{00000005-2D56-4EEA-952E-8C0BA225AB2D}"/>
            </c:ext>
          </c:extLst>
        </c:ser>
        <c:dLbls>
          <c:showLegendKey val="0"/>
          <c:showVal val="0"/>
          <c:showCatName val="0"/>
          <c:showSerName val="0"/>
          <c:showPercent val="0"/>
          <c:showBubbleSize val="0"/>
        </c:dLbls>
        <c:gapWidth val="50"/>
        <c:overlap val="100"/>
        <c:serLines>
          <c:spPr>
            <a:ln>
              <a:prstDash val="sysDot"/>
            </a:ln>
          </c:spPr>
        </c:serLines>
        <c:axId val="42956288"/>
        <c:axId val="42957824"/>
      </c:barChart>
      <c:catAx>
        <c:axId val="42956288"/>
        <c:scaling>
          <c:orientation val="minMax"/>
        </c:scaling>
        <c:delete val="0"/>
        <c:axPos val="l"/>
        <c:numFmt formatCode="General" sourceLinked="1"/>
        <c:majorTickMark val="in"/>
        <c:minorTickMark val="none"/>
        <c:tickLblPos val="nextTo"/>
        <c:txPr>
          <a:bodyPr/>
          <a:lstStyle/>
          <a:p>
            <a:pPr algn="ctr" rtl="0">
              <a:defRPr/>
            </a:pPr>
            <a:endParaRPr lang="ja-JP"/>
          </a:p>
        </c:txPr>
        <c:crossAx val="42957824"/>
        <c:crosses val="autoZero"/>
        <c:auto val="1"/>
        <c:lblAlgn val="ctr"/>
        <c:lblOffset val="100"/>
        <c:noMultiLvlLbl val="0"/>
      </c:catAx>
      <c:valAx>
        <c:axId val="42957824"/>
        <c:scaling>
          <c:orientation val="minMax"/>
        </c:scaling>
        <c:delete val="0"/>
        <c:axPos val="b"/>
        <c:majorGridlines>
          <c:spPr>
            <a:ln>
              <a:prstDash val="sysDot"/>
            </a:ln>
          </c:spPr>
        </c:majorGridlines>
        <c:numFmt formatCode="0%" sourceLinked="0"/>
        <c:majorTickMark val="in"/>
        <c:minorTickMark val="none"/>
        <c:tickLblPos val="low"/>
        <c:spPr>
          <a:ln>
            <a:solidFill>
              <a:schemeClr val="tx1"/>
            </a:solidFill>
          </a:ln>
        </c:spPr>
        <c:txPr>
          <a:bodyPr/>
          <a:lstStyle/>
          <a:p>
            <a:pPr algn="ctr" rtl="0">
              <a:defRPr/>
            </a:pPr>
            <a:endParaRPr lang="ja-JP"/>
          </a:p>
        </c:txPr>
        <c:crossAx val="42956288"/>
        <c:crosses val="autoZero"/>
        <c:crossBetween val="between"/>
        <c:majorUnit val="0.2"/>
      </c:valAx>
      <c:spPr>
        <a:ln w="12700">
          <a:solidFill>
            <a:schemeClr val="tx1"/>
          </a:solidFill>
        </a:ln>
      </c:spPr>
    </c:plotArea>
    <c:legend>
      <c:legendPos val="t"/>
      <c:layout>
        <c:manualLayout>
          <c:xMode val="edge"/>
          <c:yMode val="edge"/>
          <c:x val="0.14769991754096867"/>
          <c:y val="7.836955854461565E-2"/>
          <c:w val="0.73895264677527039"/>
          <c:h val="5.9568839434234563E-2"/>
        </c:manualLayout>
      </c:layout>
      <c:overlay val="0"/>
      <c:spPr>
        <a:ln w="3175">
          <a:solidFill>
            <a:schemeClr val="tx1">
              <a:shade val="95000"/>
              <a:satMod val="105000"/>
            </a:schemeClr>
          </a:solidFill>
        </a:ln>
      </c:spPr>
      <c:txPr>
        <a:bodyPr/>
        <a:lstStyle/>
        <a:p>
          <a:pPr algn="l" rtl="0">
            <a:defRPr sz="700"/>
          </a:pPr>
          <a:endParaRPr lang="ja-JP"/>
        </a:p>
      </c:txPr>
    </c:legend>
    <c:plotVisOnly val="1"/>
    <c:dispBlanksAs val="gap"/>
    <c:showDLblsOverMax val="0"/>
  </c:chart>
  <c:txPr>
    <a:bodyPr horzOverflow="overflow" anchor="ctr" anchorCtr="1"/>
    <a:lstStyle/>
    <a:p>
      <a:pPr algn="ctr" rtl="0">
        <a:defRPr lang="ja-JP" altLang="en-US" sz="800">
          <a:solidFill>
            <a:schemeClr val="tx1"/>
          </a:solidFill>
          <a:latin typeface="+mj-ea"/>
          <a:ea typeface="+mj-ea"/>
        </a:defRPr>
      </a:pPr>
      <a:endParaRPr lang="ja-JP"/>
    </a:p>
  </c:txPr>
  <c:externalData r:id="rId1">
    <c:autoUpdate val="0"/>
  </c:externalData>
  <c:extLst/>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a:pPr>
            <a:r>
              <a:rPr lang="ja-JP"/>
              <a:t>図１２－１　高齢者のいる世帯の世帯の型別住宅の建て方別割合－秋田県</a:t>
            </a:r>
            <a:endParaRPr lang="en-US" altLang="ja-JP"/>
          </a:p>
          <a:p>
            <a:pPr algn="ctr" rtl="0">
              <a:defRPr/>
            </a:pPr>
            <a:r>
              <a:rPr lang="ja-JP"/>
              <a:t>（平成</a:t>
            </a:r>
            <a:r>
              <a:rPr lang="en-US"/>
              <a:t>30</a:t>
            </a:r>
            <a:r>
              <a:rPr lang="ja-JP"/>
              <a:t>年）</a:t>
            </a:r>
          </a:p>
        </c:rich>
      </c:tx>
      <c:layout>
        <c:manualLayout>
          <c:xMode val="edge"/>
          <c:yMode val="edge"/>
          <c:x val="0.11743062068864646"/>
          <c:y val="0"/>
        </c:manualLayout>
      </c:layout>
      <c:overlay val="0"/>
    </c:title>
    <c:autoTitleDeleted val="0"/>
    <c:plotArea>
      <c:layout>
        <c:manualLayout>
          <c:layoutTarget val="inner"/>
          <c:xMode val="edge"/>
          <c:yMode val="edge"/>
          <c:x val="0.13342036028426366"/>
          <c:y val="0.19471347437442096"/>
          <c:w val="0.82740482935975745"/>
          <c:h val="0.70956556143881522"/>
        </c:manualLayout>
      </c:layout>
      <c:barChart>
        <c:barDir val="bar"/>
        <c:grouping val="percentStacked"/>
        <c:varyColors val="0"/>
        <c:ser>
          <c:idx val="0"/>
          <c:order val="0"/>
          <c:tx>
            <c:strRef>
              <c:f>'建て方・所有（高齢者）'!$B$22</c:f>
              <c:strCache>
                <c:ptCount val="1"/>
                <c:pt idx="0">
                  <c:v>一戸建</c:v>
                </c:pt>
              </c:strCache>
            </c:strRef>
          </c:tx>
          <c:spPr>
            <a:pattFill prst="ltDnDiag">
              <a:fgClr>
                <a:schemeClr val="accent5"/>
              </a:fgClr>
              <a:bgClr>
                <a:schemeClr val="bg1"/>
              </a:bgClr>
            </a:pattFill>
            <a:ln w="3175">
              <a:solidFill>
                <a:schemeClr val="tx1">
                  <a:shade val="95000"/>
                  <a:satMod val="105000"/>
                </a:schemeClr>
              </a:solidFill>
            </a:ln>
          </c:spPr>
          <c:invertIfNegative val="0"/>
          <c:dLbls>
            <c:dLbl>
              <c:idx val="3"/>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0C3F-44FD-9D97-FCBCC60EAE1B}"/>
                </c:ext>
              </c:extLst>
            </c:dLbl>
            <c:numFmt formatCode="#,##0.0_);[Red]\(#,##0.0\)" sourceLinked="0"/>
            <c:spPr>
              <a:solidFill>
                <a:schemeClr val="bg1"/>
              </a:solidFill>
            </c:spPr>
            <c:txPr>
              <a:bodyPr rot="0"/>
              <a:lstStyle/>
              <a:p>
                <a:pPr algn="ctr" rtl="0">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'建て方・所有（高齢者）'!$A$23:$A$26</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'建て方・所有（高齢者）'!$B$23:$B$26</c:f>
              <c:numCache>
                <c:formatCode>0.0</c:formatCode>
                <c:ptCount val="4"/>
                <c:pt idx="0">
                  <c:v>97.442679999999996</c:v>
                </c:pt>
                <c:pt idx="1">
                  <c:v>95.49</c:v>
                </c:pt>
                <c:pt idx="2">
                  <c:v>87.289699999999996</c:v>
                </c:pt>
                <c:pt idx="3">
                  <c:v>94.492886999999996</c:v>
                </c:pt>
              </c:numCache>
            </c:numRef>
          </c:val>
          <c:extLst>
            <c:ext xmlns:c16="http://schemas.microsoft.com/office/drawing/2014/chart" uri="{C3380CC4-5D6E-409C-BE32-E72D297353CC}">
              <c16:uniqueId val="{00000000-8169-492C-9BB8-CC1EA0A1F5B4}"/>
            </c:ext>
          </c:extLst>
        </c:ser>
        <c:ser>
          <c:idx val="1"/>
          <c:order val="1"/>
          <c:tx>
            <c:strRef>
              <c:f>'建て方・所有（高齢者）'!$C$22</c:f>
              <c:strCache>
                <c:ptCount val="1"/>
                <c:pt idx="0">
                  <c:v>長屋建</c:v>
                </c:pt>
              </c:strCache>
            </c:strRef>
          </c:tx>
          <c:spPr>
            <a:pattFill prst="pct20">
              <a:fgClr>
                <a:schemeClr val="accent5"/>
              </a:fgClr>
              <a:bgClr>
                <a:schemeClr val="bg1"/>
              </a:bgClr>
            </a:pattFill>
            <a:ln w="3175">
              <a:solidFill>
                <a:schemeClr val="tx1">
                  <a:shade val="95000"/>
                  <a:satMod val="105000"/>
                </a:schemeClr>
              </a:solidFill>
            </a:ln>
          </c:spPr>
          <c:invertIfNegative val="0"/>
          <c:dLbls>
            <c:dLbl>
              <c:idx val="3"/>
              <c:layout>
                <c:manualLayout>
                  <c:x val="-7.4600928409363082E-2"/>
                  <c:y val="-0.13645356500810957"/>
                </c:manualLayout>
              </c:layout>
              <c:numFmt formatCode="#,##0.0_);[Red]\(#,##0.0\)" sourceLinked="0"/>
              <c:spPr>
                <a:solidFill>
                  <a:schemeClr val="bg1"/>
                </a:solidFill>
                <a:ln w="3175">
                  <a:solidFill>
                    <a:schemeClr val="tx1"/>
                  </a:solidFill>
                </a:ln>
              </c:spPr>
              <c:txPr>
                <a:bodyPr rot="0"/>
                <a:lstStyle/>
                <a:p>
                  <a:pPr algn="ctr" rtl="0">
                    <a:defRPr sz="600"/>
                  </a:pPr>
                  <a:endParaRPr lang="ja-JP"/>
                </a:p>
              </c:txPr>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0C3F-44FD-9D97-FCBCC60EAE1B}"/>
                </c:ext>
              </c:extLst>
            </c:dLbl>
            <c:numFmt formatCode="#,##0.0_);[Red]\(#,##0.0\)" sourceLinked="0"/>
            <c:spPr>
              <a:solidFill>
                <a:schemeClr val="bg1"/>
              </a:solidFill>
            </c:spPr>
            <c:txPr>
              <a:bodyPr rot="0"/>
              <a:lstStyle/>
              <a:p>
                <a:pPr algn="ctr" rtl="0">
                  <a:defRPr sz="600"/>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'建て方・所有（高齢者）'!$A$23:$A$26</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'建て方・所有（高齢者）'!$C$23:$C$26</c:f>
              <c:numCache>
                <c:formatCode>0.0</c:formatCode>
                <c:ptCount val="4"/>
                <c:pt idx="0">
                  <c:v>0.70546699999999996</c:v>
                </c:pt>
                <c:pt idx="1">
                  <c:v>0.98038999999999998</c:v>
                </c:pt>
                <c:pt idx="2">
                  <c:v>2.99065</c:v>
                </c:pt>
                <c:pt idx="3">
                  <c:v>1.330886</c:v>
                </c:pt>
              </c:numCache>
            </c:numRef>
          </c:val>
          <c:extLst>
            <c:ext xmlns:c16="http://schemas.microsoft.com/office/drawing/2014/chart" uri="{C3380CC4-5D6E-409C-BE32-E72D297353CC}">
              <c16:uniqueId val="{00000001-8169-492C-9BB8-CC1EA0A1F5B4}"/>
            </c:ext>
          </c:extLst>
        </c:ser>
        <c:ser>
          <c:idx val="2"/>
          <c:order val="2"/>
          <c:tx>
            <c:strRef>
              <c:f>'建て方・所有（高齢者）'!$D$22</c:f>
              <c:strCache>
                <c:ptCount val="1"/>
                <c:pt idx="0">
                  <c:v>共同住宅</c:v>
                </c:pt>
              </c:strCache>
            </c:strRef>
          </c:tx>
          <c:spPr>
            <a:pattFill prst="openDmnd">
              <a:fgClr>
                <a:schemeClr val="accent5"/>
              </a:fgClr>
              <a:bgClr>
                <a:schemeClr val="bg1"/>
              </a:bgClr>
            </a:pattFill>
            <a:ln w="3175">
              <a:solidFill>
                <a:schemeClr val="tx1">
                  <a:shade val="95000"/>
                  <a:satMod val="105000"/>
                </a:schemeClr>
              </a:solidFill>
            </a:ln>
          </c:spPr>
          <c:invertIfNegative val="0"/>
          <c:dPt>
            <c:idx val="1"/>
            <c:invertIfNegative val="0"/>
            <c:bubble3D val="0"/>
            <c:extLst>
              <c:ext xmlns:c16="http://schemas.microsoft.com/office/drawing/2014/chart" uri="{C3380CC4-5D6E-409C-BE32-E72D297353CC}">
                <c16:uniqueId val="{00000002-8169-492C-9BB8-CC1EA0A1F5B4}"/>
              </c:ext>
            </c:extLst>
          </c:dPt>
          <c:dPt>
            <c:idx val="2"/>
            <c:invertIfNegative val="0"/>
            <c:bubble3D val="0"/>
            <c:extLst>
              <c:ext xmlns:c16="http://schemas.microsoft.com/office/drawing/2014/chart" uri="{C3380CC4-5D6E-409C-BE32-E72D297353CC}">
                <c16:uniqueId val="{00000003-8169-492C-9BB8-CC1EA0A1F5B4}"/>
              </c:ext>
            </c:extLst>
          </c:dPt>
          <c:dLbls>
            <c:dLbl>
              <c:idx val="1"/>
              <c:layout>
                <c:manualLayout>
                  <c:x val="1.3013961829127707E-2"/>
                  <c:y val="0"/>
                </c:manualLayout>
              </c:layout>
              <c:numFmt formatCode="#,##0.0_);[Red]\(#,##0.0\)" sourceLinked="0"/>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69-492C-9BB8-CC1EA0A1F5B4}"/>
                </c:ext>
              </c:extLst>
            </c:dLbl>
            <c:dLbl>
              <c:idx val="2"/>
              <c:numFmt formatCode="#,##0.0_);[Red]\(#,##0.0\)" sourceLinked="0"/>
              <c:spPr>
                <a:solidFill>
                  <a:schemeClr val="bg1"/>
                </a:solidFill>
              </c:spPr>
              <c:txPr>
                <a:bodyPr/>
                <a:lstStyle/>
                <a:p>
                  <a:pPr>
                    <a:defRPr sz="600"/>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69-492C-9BB8-CC1EA0A1F5B4}"/>
                </c:ext>
              </c:extLst>
            </c:dLbl>
            <c:dLbl>
              <c:idx val="3"/>
              <c:layout>
                <c:manualLayout>
                  <c:x val="5.1576266507239142E-3"/>
                  <c:y val="-0.13645356500810957"/>
                </c:manualLayout>
              </c:layout>
              <c:numFmt formatCode="#,##0.0_);[Red]\(#,##0.0\)" sourceLinked="0"/>
              <c:spPr>
                <a:solidFill>
                  <a:schemeClr val="bg1"/>
                </a:solidFill>
                <a:ln w="3175">
                  <a:solidFill>
                    <a:schemeClr val="tx1"/>
                  </a:solidFill>
                </a:ln>
              </c:spPr>
              <c:txPr>
                <a:bodyPr rot="0"/>
                <a:lstStyle/>
                <a:p>
                  <a:pPr algn="ctr" rtl="0">
                    <a:defRPr sz="600"/>
                  </a:pPr>
                  <a:endParaRPr lang="ja-JP"/>
                </a:p>
              </c:txPr>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0C3F-44FD-9D97-FCBCC60EAE1B}"/>
                </c:ext>
              </c:extLst>
            </c:dLbl>
            <c:numFmt formatCode="#,##0.0_);[Red]\(#,##0.0\)" sourceLinked="0"/>
            <c:spPr>
              <a:solidFill>
                <a:schemeClr val="bg1"/>
              </a:solidFill>
            </c:spPr>
            <c:txPr>
              <a:bodyPr rot="0"/>
              <a:lstStyle/>
              <a:p>
                <a:pPr algn="ctr" rtl="0">
                  <a:defRPr sz="6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'建て方・所有（高齢者）'!$A$23:$A$26</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'建て方・所有（高齢者）'!$D$23:$D$26</c:f>
              <c:numCache>
                <c:formatCode>0.0</c:formatCode>
                <c:ptCount val="4"/>
                <c:pt idx="0">
                  <c:v>1.6754850000000001</c:v>
                </c:pt>
                <c:pt idx="1">
                  <c:v>3.1372499999999999</c:v>
                </c:pt>
                <c:pt idx="2">
                  <c:v>9.5327099999999998</c:v>
                </c:pt>
                <c:pt idx="3">
                  <c:v>3.9467600000000003</c:v>
                </c:pt>
              </c:numCache>
            </c:numRef>
          </c:val>
          <c:extLst>
            <c:ext xmlns:c16="http://schemas.microsoft.com/office/drawing/2014/chart" uri="{C3380CC4-5D6E-409C-BE32-E72D297353CC}">
              <c16:uniqueId val="{00000004-8169-492C-9BB8-CC1EA0A1F5B4}"/>
            </c:ext>
          </c:extLst>
        </c:ser>
        <c:ser>
          <c:idx val="3"/>
          <c:order val="3"/>
          <c:tx>
            <c:strRef>
              <c:f>'建て方・所有（高齢者）'!$E$22</c:f>
              <c:strCache>
                <c:ptCount val="1"/>
                <c:pt idx="0">
                  <c:v>その他</c:v>
                </c:pt>
              </c:strCache>
            </c:strRef>
          </c:tx>
          <c:spPr>
            <a:pattFill prst="pct40">
              <a:fgClr>
                <a:schemeClr val="accent1"/>
              </a:fgClr>
              <a:bgClr>
                <a:schemeClr val="bg1"/>
              </a:bgClr>
            </a:pattFill>
          </c:spPr>
          <c:invertIfNegative val="0"/>
          <c:cat>
            <c:strRef>
              <c:f>'建て方・所有（高齢者）'!$A$23:$A$26</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'建て方・所有（高齢者）'!$E$23:$E$26</c:f>
              <c:numCache>
                <c:formatCode>0.0</c:formatCode>
                <c:ptCount val="4"/>
                <c:pt idx="0">
                  <c:v>8.8179999999999994E-2</c:v>
                </c:pt>
                <c:pt idx="1">
                  <c:v>0.39200000000000002</c:v>
                </c:pt>
                <c:pt idx="2">
                  <c:v>0.37383</c:v>
                </c:pt>
                <c:pt idx="3">
                  <c:v>0.22946</c:v>
                </c:pt>
              </c:numCache>
            </c:numRef>
          </c:val>
          <c:extLst>
            <c:ext xmlns:c16="http://schemas.microsoft.com/office/drawing/2014/chart" uri="{C3380CC4-5D6E-409C-BE32-E72D297353CC}">
              <c16:uniqueId val="{00000005-8169-492C-9BB8-CC1EA0A1F5B4}"/>
            </c:ext>
          </c:extLst>
        </c:ser>
        <c:dLbls>
          <c:showLegendKey val="0"/>
          <c:showVal val="0"/>
          <c:showCatName val="0"/>
          <c:showSerName val="0"/>
          <c:showPercent val="0"/>
          <c:showBubbleSize val="0"/>
        </c:dLbls>
        <c:gapWidth val="40"/>
        <c:overlap val="100"/>
        <c:serLines>
          <c:spPr>
            <a:ln w="6350">
              <a:prstDash val="sysDot"/>
            </a:ln>
          </c:spPr>
        </c:serLines>
        <c:axId val="43450368"/>
        <c:axId val="43451904"/>
      </c:barChart>
      <c:catAx>
        <c:axId val="43450368"/>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600"/>
            </a:pPr>
            <a:endParaRPr lang="ja-JP"/>
          </a:p>
        </c:txPr>
        <c:crossAx val="43451904"/>
        <c:crosses val="autoZero"/>
        <c:auto val="1"/>
        <c:lblAlgn val="ctr"/>
        <c:lblOffset val="100"/>
        <c:noMultiLvlLbl val="0"/>
      </c:catAx>
      <c:valAx>
        <c:axId val="43451904"/>
        <c:scaling>
          <c:orientation val="minMax"/>
          <c:min val="0"/>
        </c:scaling>
        <c:delete val="0"/>
        <c:axPos val="b"/>
        <c:numFmt formatCode="0%" sourceLinked="1"/>
        <c:majorTickMark val="cross"/>
        <c:minorTickMark val="none"/>
        <c:tickLblPos val="nextTo"/>
        <c:spPr>
          <a:ln>
            <a:solidFill>
              <a:schemeClr val="tx1"/>
            </a:solidFill>
          </a:ln>
        </c:spPr>
        <c:txPr>
          <a:bodyPr/>
          <a:lstStyle/>
          <a:p>
            <a:pPr algn="ctr" rtl="0">
              <a:defRPr/>
            </a:pPr>
            <a:endParaRPr lang="ja-JP"/>
          </a:p>
        </c:txPr>
        <c:crossAx val="43450368"/>
        <c:crosses val="autoZero"/>
        <c:crossBetween val="between"/>
        <c:majorUnit val="0.2"/>
        <c:minorUnit val="0.1"/>
      </c:valAx>
      <c:spPr>
        <a:ln w="3175">
          <a:solidFill>
            <a:schemeClr val="tx1"/>
          </a:solidFill>
        </a:ln>
      </c:spPr>
    </c:plotArea>
    <c:legend>
      <c:legendPos val="t"/>
      <c:layout>
        <c:manualLayout>
          <c:xMode val="edge"/>
          <c:yMode val="edge"/>
          <c:x val="4.3456432589764803E-2"/>
          <c:y val="9.0742658408393739E-2"/>
          <c:w val="0.38102046522535199"/>
          <c:h val="8.1118624877772633E-2"/>
        </c:manualLayout>
      </c:layout>
      <c:overlay val="0"/>
      <c:spPr>
        <a:ln w="1905">
          <a:solidFill>
            <a:schemeClr val="tx1"/>
          </a:solidFill>
        </a:ln>
      </c:spPr>
      <c:txPr>
        <a:bodyPr/>
        <a:lstStyle/>
        <a:p>
          <a:pPr algn="l" rtl="0">
            <a:defRPr/>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800">
          <a:solidFill>
            <a:schemeClr val="tx1"/>
          </a:solidFill>
          <a:latin typeface="+mj-ea"/>
          <a:ea typeface="+mj-ea"/>
        </a:defRPr>
      </a:pPr>
      <a:endParaRPr lang="ja-JP"/>
    </a:p>
  </c:txPr>
  <c:externalData r:id="rId1">
    <c:autoUpdate val="0"/>
  </c:externalData>
  <c:userShapes r:id="rId2"/>
  <c:extLst/>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図１２－２　高齢者のいる世帯の世帯の型別住宅の所有の関係別割合－秋田県（平成30年）</a:t>
            </a:r>
          </a:p>
        </c:rich>
      </c:tx>
      <c:layout>
        <c:manualLayout>
          <c:xMode val="edge"/>
          <c:yMode val="edge"/>
          <c:x val="0.11783082077824768"/>
          <c:y val="3.9491277592287061E-3"/>
        </c:manualLayout>
      </c:layout>
      <c:overlay val="0"/>
    </c:title>
    <c:autoTitleDeleted val="0"/>
    <c:plotArea>
      <c:layout>
        <c:manualLayout>
          <c:layoutTarget val="inner"/>
          <c:xMode val="edge"/>
          <c:yMode val="edge"/>
          <c:x val="0.13969815490958731"/>
          <c:y val="0.16240083108281417"/>
          <c:w val="0.82113016081547108"/>
          <c:h val="0.74075812744466185"/>
        </c:manualLayout>
      </c:layout>
      <c:barChart>
        <c:barDir val="bar"/>
        <c:grouping val="percentStacked"/>
        <c:varyColors val="0"/>
        <c:ser>
          <c:idx val="0"/>
          <c:order val="0"/>
          <c:tx>
            <c:strRef>
              <c:f>'建て方・所有（高齢者）'!$B$55</c:f>
              <c:strCache>
                <c:ptCount val="1"/>
                <c:pt idx="0">
                  <c:v>持ち家</c:v>
                </c:pt>
              </c:strCache>
            </c:strRef>
          </c:tx>
          <c:spPr>
            <a:pattFill prst="ltDnDiag">
              <a:fgClr>
                <a:schemeClr val="accent5"/>
              </a:fgClr>
              <a:bgClr>
                <a:schemeClr val="bg1"/>
              </a:bgClr>
            </a:pattFill>
            <a:ln w="3175">
              <a:solidFill>
                <a:schemeClr val="tx1">
                  <a:shade val="95000"/>
                  <a:satMod val="105000"/>
                </a:schemeClr>
              </a:solidFill>
            </a:ln>
          </c:spPr>
          <c:invertIfNegative val="0"/>
          <c:dLbls>
            <c:numFmt formatCode="#,##0.0_);[Red]\(#,##0.0\)" sourceLinked="0"/>
            <c:spPr>
              <a:solidFill>
                <a:schemeClr val="bg1"/>
              </a:solidFill>
            </c:spPr>
            <c:txPr>
              <a:bodyPr rot="0"/>
              <a:lstStyle/>
              <a:p>
                <a:pPr algn="ctr" rtl="0">
                  <a:defRPr sz="6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'建て方・所有（高齢者）'!$A$56:$A$59</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'建て方・所有（高齢者）'!$B$56:$B$59</c:f>
              <c:numCache>
                <c:formatCode>0.0_ </c:formatCode>
                <c:ptCount val="4"/>
                <c:pt idx="0">
                  <c:v>95.957800000000006</c:v>
                </c:pt>
                <c:pt idx="1">
                  <c:v>94.716200000000001</c:v>
                </c:pt>
                <c:pt idx="2">
                  <c:v>85.046728999999999</c:v>
                </c:pt>
                <c:pt idx="3">
                  <c:v>92.994500000000002</c:v>
                </c:pt>
              </c:numCache>
            </c:numRef>
          </c:val>
          <c:extLst>
            <c:ext xmlns:c16="http://schemas.microsoft.com/office/drawing/2014/chart" uri="{C3380CC4-5D6E-409C-BE32-E72D297353CC}">
              <c16:uniqueId val="{00000000-9BAC-4C82-A15A-8DA0DE96F7D6}"/>
            </c:ext>
          </c:extLst>
        </c:ser>
        <c:ser>
          <c:idx val="1"/>
          <c:order val="1"/>
          <c:tx>
            <c:strRef>
              <c:f>'建て方・所有（高齢者）'!$C$55</c:f>
              <c:strCache>
                <c:ptCount val="1"/>
                <c:pt idx="0">
                  <c:v>公営・UR・公社</c:v>
                </c:pt>
              </c:strCache>
            </c:strRef>
          </c:tx>
          <c:spPr>
            <a:pattFill prst="pct20">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1-9BAC-4C82-A15A-8DA0DE96F7D6}"/>
              </c:ext>
            </c:extLst>
          </c:dPt>
          <c:dPt>
            <c:idx val="1"/>
            <c:invertIfNegative val="0"/>
            <c:bubble3D val="0"/>
            <c:extLst>
              <c:ext xmlns:c16="http://schemas.microsoft.com/office/drawing/2014/chart" uri="{C3380CC4-5D6E-409C-BE32-E72D297353CC}">
                <c16:uniqueId val="{00000002-9BAC-4C82-A15A-8DA0DE96F7D6}"/>
              </c:ext>
            </c:extLst>
          </c:dPt>
          <c:dPt>
            <c:idx val="3"/>
            <c:invertIfNegative val="0"/>
            <c:bubble3D val="0"/>
            <c:extLst>
              <c:ext xmlns:c16="http://schemas.microsoft.com/office/drawing/2014/chart" uri="{C3380CC4-5D6E-409C-BE32-E72D297353CC}">
                <c16:uniqueId val="{00000003-9BAC-4C82-A15A-8DA0DE96F7D6}"/>
              </c:ext>
            </c:extLst>
          </c:dPt>
          <c:dLbls>
            <c:dLbl>
              <c:idx val="0"/>
              <c:layout>
                <c:manualLayout>
                  <c:x val="-2.0911656681004129E-2"/>
                  <c:y val="-2.7240607651732199E-3"/>
                </c:manualLayout>
              </c:layout>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AC-4C82-A15A-8DA0DE96F7D6}"/>
                </c:ext>
              </c:extLst>
            </c:dLbl>
            <c:dLbl>
              <c:idx val="1"/>
              <c:layout>
                <c:manualLayout>
                  <c:x val="-2.0840725522486701E-2"/>
                  <c:y val="1.3867885693762357E-3"/>
                </c:manualLayout>
              </c:layout>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AC-4C82-A15A-8DA0DE96F7D6}"/>
                </c:ext>
              </c:extLst>
            </c:dLbl>
            <c:dLbl>
              <c:idx val="3"/>
              <c:layout>
                <c:manualLayout>
                  <c:x val="-3.4628058589450512E-2"/>
                  <c:y val="-1.1342544446095181E-2"/>
                </c:manualLayout>
              </c:layout>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AC-4C82-A15A-8DA0DE96F7D6}"/>
                </c:ext>
              </c:extLst>
            </c:dLbl>
            <c:spPr>
              <a:noFill/>
              <a:ln>
                <a:noFill/>
              </a:ln>
              <a:effectLst/>
            </c:spPr>
            <c:txPr>
              <a:bodyPr rot="0"/>
              <a:lstStyle/>
              <a:p>
                <a:pPr algn="ctr" rtl="0">
                  <a:defRPr sz="600"/>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'建て方・所有（高齢者）'!$A$56:$A$59</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'建て方・所有（高齢者）'!$C$56:$C$59</c:f>
              <c:numCache>
                <c:formatCode>0.0_ </c:formatCode>
                <c:ptCount val="4"/>
                <c:pt idx="0">
                  <c:v>1.142355</c:v>
                </c:pt>
                <c:pt idx="1">
                  <c:v>1.95695</c:v>
                </c:pt>
                <c:pt idx="2">
                  <c:v>5.046729</c:v>
                </c:pt>
                <c:pt idx="3">
                  <c:v>2.28938</c:v>
                </c:pt>
              </c:numCache>
            </c:numRef>
          </c:val>
          <c:extLst>
            <c:ext xmlns:c16="http://schemas.microsoft.com/office/drawing/2014/chart" uri="{C3380CC4-5D6E-409C-BE32-E72D297353CC}">
              <c16:uniqueId val="{00000004-9BAC-4C82-A15A-8DA0DE96F7D6}"/>
            </c:ext>
          </c:extLst>
        </c:ser>
        <c:ser>
          <c:idx val="2"/>
          <c:order val="2"/>
          <c:tx>
            <c:strRef>
              <c:f>'建て方・所有（高齢者）'!$D$55</c:f>
              <c:strCache>
                <c:ptCount val="1"/>
                <c:pt idx="0">
                  <c:v>民営借家</c:v>
                </c:pt>
              </c:strCache>
            </c:strRef>
          </c:tx>
          <c:spPr>
            <a:pattFill prst="openDmnd">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5-9BAC-4C82-A15A-8DA0DE96F7D6}"/>
              </c:ext>
            </c:extLst>
          </c:dPt>
          <c:dPt>
            <c:idx val="1"/>
            <c:invertIfNegative val="0"/>
            <c:bubble3D val="0"/>
            <c:extLst>
              <c:ext xmlns:c16="http://schemas.microsoft.com/office/drawing/2014/chart" uri="{C3380CC4-5D6E-409C-BE32-E72D297353CC}">
                <c16:uniqueId val="{00000006-9BAC-4C82-A15A-8DA0DE96F7D6}"/>
              </c:ext>
            </c:extLst>
          </c:dPt>
          <c:dLbls>
            <c:dLbl>
              <c:idx val="0"/>
              <c:layout>
                <c:manualLayout>
                  <c:x val="-6.2155332127108633E-3"/>
                  <c:y val="2.9773205105732312E-2"/>
                </c:manualLayout>
              </c:layout>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AC-4C82-A15A-8DA0DE96F7D6}"/>
                </c:ext>
              </c:extLst>
            </c:dLbl>
            <c:dLbl>
              <c:idx val="1"/>
              <c:layout>
                <c:manualLayout>
                  <c:x val="-2.1208714745960993E-3"/>
                  <c:y val="1.6049673715424314E-2"/>
                </c:manualLayout>
              </c:layout>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15:layout>
                    <c:manualLayout>
                      <c:w val="4.5431090088153075E-2"/>
                      <c:h val="4.5070292527020057E-2"/>
                    </c:manualLayout>
                  </c15:layout>
                </c:ext>
                <c:ext xmlns:c16="http://schemas.microsoft.com/office/drawing/2014/chart" uri="{C3380CC4-5D6E-409C-BE32-E72D297353CC}">
                  <c16:uniqueId val="{00000006-9BAC-4C82-A15A-8DA0DE96F7D6}"/>
                </c:ext>
              </c:extLst>
            </c:dLbl>
            <c:spPr>
              <a:noFill/>
              <a:ln>
                <a:noFill/>
              </a:ln>
              <a:effectLst/>
            </c:spPr>
            <c:txPr>
              <a:bodyPr rot="0"/>
              <a:lstStyle/>
              <a:p>
                <a:pPr algn="ctr" rtl="0">
                  <a:defRPr sz="600"/>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'建て方・所有（高齢者）'!$A$56:$A$59</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'建て方・所有（高齢者）'!$D$56:$D$59</c:f>
              <c:numCache>
                <c:formatCode>0.0_ </c:formatCode>
                <c:ptCount val="4"/>
                <c:pt idx="0">
                  <c:v>2.28471</c:v>
                </c:pt>
                <c:pt idx="1">
                  <c:v>2.7397299999999998</c:v>
                </c:pt>
                <c:pt idx="2">
                  <c:v>9.7196269999999991</c:v>
                </c:pt>
                <c:pt idx="3">
                  <c:v>4.2124540000000001</c:v>
                </c:pt>
              </c:numCache>
            </c:numRef>
          </c:val>
          <c:extLst>
            <c:ext xmlns:c16="http://schemas.microsoft.com/office/drawing/2014/chart" uri="{C3380CC4-5D6E-409C-BE32-E72D297353CC}">
              <c16:uniqueId val="{00000007-9BAC-4C82-A15A-8DA0DE96F7D6}"/>
            </c:ext>
          </c:extLst>
        </c:ser>
        <c:ser>
          <c:idx val="3"/>
          <c:order val="3"/>
          <c:tx>
            <c:strRef>
              <c:f>'建て方・所有（高齢者）'!$E$55</c:f>
              <c:strCache>
                <c:ptCount val="1"/>
                <c:pt idx="0">
                  <c:v>給与住宅</c:v>
                </c:pt>
              </c:strCache>
            </c:strRef>
          </c:tx>
          <c:spPr>
            <a:pattFill prst="dkHorz">
              <a:fgClr>
                <a:schemeClr val="accent1"/>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8-9BAC-4C82-A15A-8DA0DE96F7D6}"/>
              </c:ext>
            </c:extLst>
          </c:dPt>
          <c:dPt>
            <c:idx val="1"/>
            <c:invertIfNegative val="0"/>
            <c:bubble3D val="0"/>
            <c:extLst>
              <c:ext xmlns:c16="http://schemas.microsoft.com/office/drawing/2014/chart" uri="{C3380CC4-5D6E-409C-BE32-E72D297353CC}">
                <c16:uniqueId val="{00000009-9BAC-4C82-A15A-8DA0DE96F7D6}"/>
              </c:ext>
            </c:extLst>
          </c:dPt>
          <c:dPt>
            <c:idx val="2"/>
            <c:invertIfNegative val="0"/>
            <c:bubble3D val="0"/>
            <c:extLst>
              <c:ext xmlns:c16="http://schemas.microsoft.com/office/drawing/2014/chart" uri="{C3380CC4-5D6E-409C-BE32-E72D297353CC}">
                <c16:uniqueId val="{0000000A-9BAC-4C82-A15A-8DA0DE96F7D6}"/>
              </c:ext>
            </c:extLst>
          </c:dPt>
          <c:dPt>
            <c:idx val="3"/>
            <c:invertIfNegative val="0"/>
            <c:bubble3D val="0"/>
            <c:extLst>
              <c:ext xmlns:c16="http://schemas.microsoft.com/office/drawing/2014/chart" uri="{C3380CC4-5D6E-409C-BE32-E72D297353CC}">
                <c16:uniqueId val="{0000000B-9BAC-4C82-A15A-8DA0DE96F7D6}"/>
              </c:ext>
            </c:extLst>
          </c:dPt>
          <c:dLbls>
            <c:dLbl>
              <c:idx val="0"/>
              <c:layout>
                <c:manualLayout>
                  <c:x val="2.190737448141563E-2"/>
                  <c:y val="2.5047623764010631E-2"/>
                </c:manualLayout>
              </c:layout>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BAC-4C82-A15A-8DA0DE96F7D6}"/>
                </c:ext>
              </c:extLst>
            </c:dLbl>
            <c:dLbl>
              <c:idx val="1"/>
              <c:spPr>
                <a:solidFill>
                  <a:schemeClr val="bg1"/>
                </a:solidFill>
              </c:spPr>
              <c:txPr>
                <a:bodyPr/>
                <a:lstStyle/>
                <a:p>
                  <a:pPr>
                    <a:defRPr sz="600"/>
                  </a:pPr>
                  <a:endParaRPr lang="ja-JP"/>
                </a:p>
              </c:tx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BAC-4C82-A15A-8DA0DE96F7D6}"/>
                </c:ext>
              </c:extLst>
            </c:dLbl>
            <c:dLbl>
              <c:idx val="2"/>
              <c:delete val="1"/>
              <c:extLst>
                <c:ext xmlns:c15="http://schemas.microsoft.com/office/drawing/2012/chart" uri="{CE6537A1-D6FC-4f65-9D91-7224C49458BB}"/>
                <c:ext xmlns:c16="http://schemas.microsoft.com/office/drawing/2014/chart" uri="{C3380CC4-5D6E-409C-BE32-E72D297353CC}">
                  <c16:uniqueId val="{0000000A-9BAC-4C82-A15A-8DA0DE96F7D6}"/>
                </c:ext>
              </c:extLst>
            </c:dLbl>
            <c:dLbl>
              <c:idx val="3"/>
              <c:layout>
                <c:manualLayout>
                  <c:x val="2.0201845737024809E-2"/>
                  <c:y val="3.2682612786609222E-2"/>
                </c:manualLayout>
              </c:layout>
              <c:spPr>
                <a:solidFill>
                  <a:schemeClr val="bg1"/>
                </a:solidFill>
              </c:spPr>
              <c:txPr>
                <a:bodyPr/>
                <a:lstStyle/>
                <a:p>
                  <a:pPr>
                    <a:defRPr sz="6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BAC-4C82-A15A-8DA0DE96F7D6}"/>
                </c:ext>
              </c:extLst>
            </c:dLbl>
            <c:spPr>
              <a:solidFill>
                <a:schemeClr val="bg1"/>
              </a:solidFill>
            </c:spPr>
            <c:txPr>
              <a:bodyPr rot="0"/>
              <a:lstStyle/>
              <a:p>
                <a:pPr algn="ctr" rtl="0">
                  <a:defRPr sz="600"/>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'建て方・所有（高齢者）'!$A$56:$A$59</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'建て方・所有（高齢者）'!$E$56:$E$59</c:f>
              <c:numCache>
                <c:formatCode>0.0_ </c:formatCode>
                <c:ptCount val="4"/>
                <c:pt idx="0">
                  <c:v>0.17574999999999999</c:v>
                </c:pt>
                <c:pt idx="1">
                  <c:v>0.19569500000000001</c:v>
                </c:pt>
                <c:pt idx="2">
                  <c:v>0</c:v>
                </c:pt>
                <c:pt idx="3">
                  <c:v>0.13736000000000001</c:v>
                </c:pt>
              </c:numCache>
            </c:numRef>
          </c:val>
          <c:extLst>
            <c:ext xmlns:c16="http://schemas.microsoft.com/office/drawing/2014/chart" uri="{C3380CC4-5D6E-409C-BE32-E72D297353CC}">
              <c16:uniqueId val="{0000000C-9BAC-4C82-A15A-8DA0DE96F7D6}"/>
            </c:ext>
          </c:extLst>
        </c:ser>
        <c:ser>
          <c:idx val="4"/>
          <c:order val="4"/>
          <c:tx>
            <c:strRef>
              <c:f>'建て方・所有（高齢者）'!$F$55</c:f>
              <c:strCache>
                <c:ptCount val="1"/>
                <c:pt idx="0">
                  <c:v>同居世帯</c:v>
                </c:pt>
              </c:strCache>
            </c:strRef>
          </c:tx>
          <c:spPr>
            <a:pattFill prst="openDmnd">
              <a:fgClr>
                <a:schemeClr val="accent5"/>
              </a:fgClr>
              <a:bgClr>
                <a:schemeClr val="bg1"/>
              </a:bgClr>
            </a:pattFill>
            <a:ln w="3175">
              <a:solidFill>
                <a:schemeClr val="tx1"/>
              </a:solidFill>
            </a:ln>
          </c:spPr>
          <c:invertIfNegative val="0"/>
          <c:cat>
            <c:strRef>
              <c:f>'建て方・所有（高齢者）'!$A$56:$A$59</c:f>
              <c:strCache>
                <c:ptCount val="4"/>
                <c:pt idx="0">
                  <c:v>高齢者のいる
その他の世帯</c:v>
                </c:pt>
                <c:pt idx="1">
                  <c:v>高齢者のいる
夫婦のみの世帯</c:v>
                </c:pt>
                <c:pt idx="2">
                  <c:v>高齢単身世帯</c:v>
                </c:pt>
                <c:pt idx="3">
                  <c:v>高齢者のいる世帯</c:v>
                </c:pt>
              </c:strCache>
            </c:strRef>
          </c:cat>
          <c:val>
            <c:numRef>
              <c:f>'建て方・所有（高齢者）'!$F$56:$F$59</c:f>
              <c:numCache>
                <c:formatCode>0.0_ </c:formatCode>
                <c:ptCount val="4"/>
                <c:pt idx="0">
                  <c:v>0.17574999999999999</c:v>
                </c:pt>
                <c:pt idx="1">
                  <c:v>0.39139000000000002</c:v>
                </c:pt>
                <c:pt idx="2">
                  <c:v>0</c:v>
                </c:pt>
                <c:pt idx="3">
                  <c:v>0.18315000000000001</c:v>
                </c:pt>
              </c:numCache>
            </c:numRef>
          </c:val>
          <c:extLst>
            <c:ext xmlns:c16="http://schemas.microsoft.com/office/drawing/2014/chart" uri="{C3380CC4-5D6E-409C-BE32-E72D297353CC}">
              <c16:uniqueId val="{0000000D-9BAC-4C82-A15A-8DA0DE96F7D6}"/>
            </c:ext>
          </c:extLst>
        </c:ser>
        <c:dLbls>
          <c:showLegendKey val="0"/>
          <c:showVal val="0"/>
          <c:showCatName val="0"/>
          <c:showSerName val="0"/>
          <c:showPercent val="0"/>
          <c:showBubbleSize val="0"/>
        </c:dLbls>
        <c:gapWidth val="40"/>
        <c:overlap val="100"/>
        <c:serLines>
          <c:spPr>
            <a:ln w="6350">
              <a:prstDash val="sysDot"/>
            </a:ln>
          </c:spPr>
        </c:serLines>
        <c:axId val="139436032"/>
        <c:axId val="139437568"/>
      </c:barChart>
      <c:catAx>
        <c:axId val="139436032"/>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600"/>
            </a:pPr>
            <a:endParaRPr lang="ja-JP"/>
          </a:p>
        </c:txPr>
        <c:crossAx val="139437568"/>
        <c:crosses val="autoZero"/>
        <c:auto val="1"/>
        <c:lblAlgn val="ctr"/>
        <c:lblOffset val="100"/>
        <c:noMultiLvlLbl val="0"/>
      </c:catAx>
      <c:valAx>
        <c:axId val="139437568"/>
        <c:scaling>
          <c:orientation val="minMax"/>
          <c:min val="0"/>
        </c:scaling>
        <c:delete val="0"/>
        <c:axPos val="b"/>
        <c:numFmt formatCode="0%" sourceLinked="1"/>
        <c:majorTickMark val="cross"/>
        <c:minorTickMark val="none"/>
        <c:tickLblPos val="nextTo"/>
        <c:spPr>
          <a:ln>
            <a:solidFill>
              <a:schemeClr val="tx1"/>
            </a:solidFill>
          </a:ln>
        </c:spPr>
        <c:txPr>
          <a:bodyPr/>
          <a:lstStyle/>
          <a:p>
            <a:pPr algn="ctr" rtl="0">
              <a:defRPr/>
            </a:pPr>
            <a:endParaRPr lang="ja-JP"/>
          </a:p>
        </c:txPr>
        <c:crossAx val="139436032"/>
        <c:crosses val="autoZero"/>
        <c:crossBetween val="between"/>
        <c:majorUnit val="0.2"/>
        <c:minorUnit val="0.1"/>
      </c:valAx>
      <c:spPr>
        <a:ln w="3175">
          <a:solidFill>
            <a:schemeClr val="tx1"/>
          </a:solidFill>
        </a:ln>
      </c:spPr>
    </c:plotArea>
    <c:legend>
      <c:legendPos val="t"/>
      <c:layout>
        <c:manualLayout>
          <c:xMode val="edge"/>
          <c:yMode val="edge"/>
          <c:x val="0.25677959358498809"/>
          <c:y val="7.5152098556238139E-2"/>
          <c:w val="0.52945539090347671"/>
          <c:h val="6.495263557828769E-2"/>
        </c:manualLayout>
      </c:layout>
      <c:overlay val="0"/>
      <c:spPr>
        <a:ln w="1905">
          <a:solidFill>
            <a:schemeClr val="tx1"/>
          </a:solidFill>
        </a:ln>
      </c:spPr>
      <c:txPr>
        <a:bodyPr/>
        <a:lstStyle/>
        <a:p>
          <a:pPr algn="l" rtl="0">
            <a:defRPr sz="800"/>
          </a:pPr>
          <a:endParaRPr lang="ja-JP"/>
        </a:p>
      </c:txPr>
    </c:legend>
    <c:plotVisOnly val="1"/>
    <c:dispBlanksAs val="gap"/>
    <c:showDLblsOverMax val="0"/>
  </c:chart>
  <c:txPr>
    <a:bodyPr horzOverflow="overflow" anchor="ctr" anchorCtr="1"/>
    <a:lstStyle/>
    <a:p>
      <a:pPr algn="ctr" rtl="0">
        <a:defRPr lang="ja-JP" altLang="en-US" sz="800">
          <a:solidFill>
            <a:schemeClr val="tx1"/>
          </a:solidFill>
          <a:latin typeface="+mj-ea"/>
          <a:ea typeface="+mj-ea"/>
        </a:defRPr>
      </a:pPr>
      <a:endParaRPr lang="ja-JP"/>
    </a:p>
  </c:txPr>
  <c:externalData r:id="rId1">
    <c:autoUpdate val="0"/>
  </c:externalData>
  <c:extLst/>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b="0"/>
            </a:pPr>
            <a:r>
              <a:rPr lang="ja-JP" sz="800" b="0"/>
              <a:t>図１３　高齢者の有無別平成</a:t>
            </a:r>
            <a:r>
              <a:rPr lang="en-US" sz="800" b="0"/>
              <a:t>26</a:t>
            </a:r>
            <a:r>
              <a:rPr lang="ja-JP" sz="800" b="0"/>
              <a:t>年以降の高齢者等のための</a:t>
            </a:r>
            <a:endParaRPr lang="en-US" sz="800" b="0"/>
          </a:p>
          <a:p>
            <a:pPr algn="ctr" rtl="0">
              <a:defRPr sz="800" b="0"/>
            </a:pPr>
            <a:r>
              <a:rPr lang="ja-JP" sz="800" b="0"/>
              <a:t>設備工事の内訳－秋田県（平成</a:t>
            </a:r>
            <a:r>
              <a:rPr lang="en-US" sz="800" b="0"/>
              <a:t>30</a:t>
            </a:r>
            <a:r>
              <a:rPr lang="ja-JP" sz="800" b="0"/>
              <a:t>年）</a:t>
            </a:r>
          </a:p>
        </c:rich>
      </c:tx>
      <c:layout>
        <c:manualLayout>
          <c:xMode val="edge"/>
          <c:yMode val="edge"/>
          <c:x val="0.24713622894825543"/>
          <c:y val="1.411764705882353E-2"/>
        </c:manualLayout>
      </c:layout>
      <c:overlay val="0"/>
    </c:title>
    <c:autoTitleDeleted val="0"/>
    <c:plotArea>
      <c:layout>
        <c:manualLayout>
          <c:layoutTarget val="inner"/>
          <c:xMode val="edge"/>
          <c:yMode val="edge"/>
          <c:x val="0.15779494771101218"/>
          <c:y val="0.13930699868547886"/>
          <c:w val="0.78976207987076408"/>
          <c:h val="0.76773913849004161"/>
        </c:manualLayout>
      </c:layout>
      <c:barChart>
        <c:barDir val="bar"/>
        <c:grouping val="clustered"/>
        <c:varyColors val="0"/>
        <c:ser>
          <c:idx val="0"/>
          <c:order val="0"/>
          <c:tx>
            <c:strRef>
              <c:f>高齢者設備工事!$A$18</c:f>
              <c:strCache>
                <c:ptCount val="1"/>
                <c:pt idx="0">
                  <c:v>高齢者のいない世帯</c:v>
                </c:pt>
              </c:strCache>
            </c:strRef>
          </c:tx>
          <c:spPr>
            <a:pattFill prst="openDmnd">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0-C86E-43FA-82A9-79B28438FA28}"/>
              </c:ext>
            </c:extLst>
          </c:dPt>
          <c:dPt>
            <c:idx val="1"/>
            <c:invertIfNegative val="0"/>
            <c:bubble3D val="0"/>
            <c:extLst>
              <c:ext xmlns:c16="http://schemas.microsoft.com/office/drawing/2014/chart" uri="{C3380CC4-5D6E-409C-BE32-E72D297353CC}">
                <c16:uniqueId val="{00000001-C86E-43FA-82A9-79B28438FA28}"/>
              </c:ext>
            </c:extLst>
          </c:dPt>
          <c:dPt>
            <c:idx val="2"/>
            <c:invertIfNegative val="0"/>
            <c:bubble3D val="0"/>
            <c:extLst>
              <c:ext xmlns:c16="http://schemas.microsoft.com/office/drawing/2014/chart" uri="{C3380CC4-5D6E-409C-BE32-E72D297353CC}">
                <c16:uniqueId val="{00000002-C86E-43FA-82A9-79B28438FA28}"/>
              </c:ext>
            </c:extLst>
          </c:dPt>
          <c:dPt>
            <c:idx val="3"/>
            <c:invertIfNegative val="0"/>
            <c:bubble3D val="0"/>
            <c:extLst>
              <c:ext xmlns:c16="http://schemas.microsoft.com/office/drawing/2014/chart" uri="{C3380CC4-5D6E-409C-BE32-E72D297353CC}">
                <c16:uniqueId val="{00000003-C86E-43FA-82A9-79B28438FA28}"/>
              </c:ext>
            </c:extLst>
          </c:dPt>
          <c:dPt>
            <c:idx val="4"/>
            <c:invertIfNegative val="0"/>
            <c:bubble3D val="0"/>
            <c:extLst>
              <c:ext xmlns:c16="http://schemas.microsoft.com/office/drawing/2014/chart" uri="{C3380CC4-5D6E-409C-BE32-E72D297353CC}">
                <c16:uniqueId val="{00000004-C86E-43FA-82A9-79B28438FA28}"/>
              </c:ext>
            </c:extLst>
          </c:dPt>
          <c:dPt>
            <c:idx val="5"/>
            <c:invertIfNegative val="0"/>
            <c:bubble3D val="0"/>
            <c:extLst>
              <c:ext xmlns:c16="http://schemas.microsoft.com/office/drawing/2014/chart" uri="{C3380CC4-5D6E-409C-BE32-E72D297353CC}">
                <c16:uniqueId val="{00000005-C86E-43FA-82A9-79B28438FA28}"/>
              </c:ext>
            </c:extLst>
          </c:dPt>
          <c:dLbls>
            <c:dLbl>
              <c:idx val="0"/>
              <c:layout>
                <c:manualLayout>
                  <c:x val="0"/>
                  <c:y val="4.70663053061514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6E-43FA-82A9-79B28438FA28}"/>
                </c:ext>
              </c:extLst>
            </c:dLbl>
            <c:dLbl>
              <c:idx val="1"/>
              <c:layout>
                <c:manualLayout>
                  <c:x val="0"/>
                  <c:y val="9.41326106123029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6E-43FA-82A9-79B28438FA28}"/>
                </c:ext>
              </c:extLst>
            </c:dLbl>
            <c:dLbl>
              <c:idx val="2"/>
              <c:layout>
                <c:manualLayout>
                  <c:x val="0"/>
                  <c:y val="4.70663053061514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6E-43FA-82A9-79B28438FA28}"/>
                </c:ext>
              </c:extLst>
            </c:dLbl>
            <c:dLbl>
              <c:idx val="4"/>
              <c:layout>
                <c:manualLayout>
                  <c:x val="1.1756382625272786E-2"/>
                  <c:y val="1.8814662895926763E-2"/>
                </c:manualLayout>
              </c:layout>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6E-43FA-82A9-79B28438FA28}"/>
                </c:ext>
              </c:extLst>
            </c:dLbl>
            <c:spPr>
              <a:no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高齢者設備工事!$B$17:$G$17</c:f>
              <c:strCache>
                <c:ptCount val="6"/>
                <c:pt idx="0">
                  <c:v>その他</c:v>
                </c:pt>
                <c:pt idx="1">
                  <c:v>トイレの工事</c:v>
                </c:pt>
                <c:pt idx="2">
                  <c:v>浴室の工事</c:v>
                </c:pt>
                <c:pt idx="3">
                  <c:v>屋内の段差の解消</c:v>
                </c:pt>
                <c:pt idx="4">
                  <c:v>階段や廊下の
手すりの設置</c:v>
                </c:pt>
                <c:pt idx="5">
                  <c:v>高齢者等のための
工事をした</c:v>
                </c:pt>
              </c:strCache>
            </c:strRef>
          </c:cat>
          <c:val>
            <c:numRef>
              <c:f>高齢者設備工事!$B$18:$G$18</c:f>
              <c:numCache>
                <c:formatCode>0.0</c:formatCode>
                <c:ptCount val="6"/>
                <c:pt idx="0">
                  <c:v>0.93023255813953487</c:v>
                </c:pt>
                <c:pt idx="1">
                  <c:v>2.558139534883721</c:v>
                </c:pt>
                <c:pt idx="2">
                  <c:v>2.2093023255813953</c:v>
                </c:pt>
                <c:pt idx="3">
                  <c:v>1.2790697674418605</c:v>
                </c:pt>
                <c:pt idx="4">
                  <c:v>3.7209302325581395</c:v>
                </c:pt>
                <c:pt idx="5">
                  <c:v>6.7441860465116283</c:v>
                </c:pt>
              </c:numCache>
            </c:numRef>
          </c:val>
          <c:extLst>
            <c:ext xmlns:c16="http://schemas.microsoft.com/office/drawing/2014/chart" uri="{C3380CC4-5D6E-409C-BE32-E72D297353CC}">
              <c16:uniqueId val="{00000006-C86E-43FA-82A9-79B28438FA28}"/>
            </c:ext>
          </c:extLst>
        </c:ser>
        <c:ser>
          <c:idx val="1"/>
          <c:order val="1"/>
          <c:tx>
            <c:strRef>
              <c:f>高齢者設備工事!$A$19</c:f>
              <c:strCache>
                <c:ptCount val="1"/>
                <c:pt idx="0">
                  <c:v>高齢者のいる世帯</c:v>
                </c:pt>
              </c:strCache>
            </c:strRef>
          </c:tx>
          <c:spPr>
            <a:pattFill prst="ltDnDiag">
              <a:fgClr>
                <a:schemeClr val="accent5"/>
              </a:fgClr>
              <a:bgClr>
                <a:schemeClr val="bg1"/>
              </a:bgClr>
            </a:pattFill>
            <a:ln w="3175">
              <a:solidFill>
                <a:schemeClr val="tx1"/>
              </a:solidFill>
            </a:ln>
          </c:spPr>
          <c:invertIfNegative val="0"/>
          <c:dPt>
            <c:idx val="3"/>
            <c:invertIfNegative val="0"/>
            <c:bubble3D val="0"/>
            <c:extLst>
              <c:ext xmlns:c16="http://schemas.microsoft.com/office/drawing/2014/chart" uri="{C3380CC4-5D6E-409C-BE32-E72D297353CC}">
                <c16:uniqueId val="{00000007-C86E-43FA-82A9-79B28438FA28}"/>
              </c:ext>
            </c:extLst>
          </c:dPt>
          <c:dLbls>
            <c:dLbl>
              <c:idx val="3"/>
              <c:tx>
                <c:rich>
                  <a:bodyPr/>
                  <a:lstStyle/>
                  <a:p>
                    <a:pPr>
                      <a:defRPr sz="700"/>
                    </a:pPr>
                    <a:r>
                      <a:rPr lang="en-US" sz="700"/>
                      <a:t>3.1</a:t>
                    </a:r>
                    <a:endParaRPr lang="en-US"/>
                  </a:p>
                </c:rich>
              </c:tx>
              <c:spPr>
                <a:solidFill>
                  <a:schemeClr val="bg1"/>
                </a:solidFill>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86E-43FA-82A9-79B28438FA28}"/>
                </c:ext>
              </c:extLst>
            </c:dLbl>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高齢者設備工事!$B$17:$G$17</c:f>
              <c:strCache>
                <c:ptCount val="6"/>
                <c:pt idx="0">
                  <c:v>その他</c:v>
                </c:pt>
                <c:pt idx="1">
                  <c:v>トイレの工事</c:v>
                </c:pt>
                <c:pt idx="2">
                  <c:v>浴室の工事</c:v>
                </c:pt>
                <c:pt idx="3">
                  <c:v>屋内の段差の解消</c:v>
                </c:pt>
                <c:pt idx="4">
                  <c:v>階段や廊下の
手すりの設置</c:v>
                </c:pt>
                <c:pt idx="5">
                  <c:v>高齢者等のための
工事をした</c:v>
                </c:pt>
              </c:strCache>
            </c:strRef>
          </c:cat>
          <c:val>
            <c:numRef>
              <c:f>高齢者設備工事!$B$19:$G$19</c:f>
              <c:numCache>
                <c:formatCode>0.0</c:formatCode>
                <c:ptCount val="6"/>
                <c:pt idx="0">
                  <c:v>1.7725258493353029</c:v>
                </c:pt>
                <c:pt idx="1">
                  <c:v>8.9611029049729201</c:v>
                </c:pt>
                <c:pt idx="2">
                  <c:v>6.4007877892663707</c:v>
                </c:pt>
                <c:pt idx="3">
                  <c:v>3.0034465780403741</c:v>
                </c:pt>
                <c:pt idx="4">
                  <c:v>9.8966026587887743</c:v>
                </c:pt>
                <c:pt idx="5">
                  <c:v>18.119153126538652</c:v>
                </c:pt>
              </c:numCache>
            </c:numRef>
          </c:val>
          <c:extLst>
            <c:ext xmlns:c16="http://schemas.microsoft.com/office/drawing/2014/chart" uri="{C3380CC4-5D6E-409C-BE32-E72D297353CC}">
              <c16:uniqueId val="{00000008-C86E-43FA-82A9-79B28438FA28}"/>
            </c:ext>
          </c:extLst>
        </c:ser>
        <c:ser>
          <c:idx val="2"/>
          <c:order val="2"/>
          <c:tx>
            <c:strRef>
              <c:f>高齢者設備工事!$A$20</c:f>
              <c:strCache>
                <c:ptCount val="1"/>
                <c:pt idx="0">
                  <c:v>持ち家に居住する主世帯総数</c:v>
                </c:pt>
              </c:strCache>
            </c:strRef>
          </c:tx>
          <c:spPr>
            <a:pattFill prst="pct25">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9-C86E-43FA-82A9-79B28438FA28}"/>
              </c:ext>
            </c:extLst>
          </c:dPt>
          <c:dPt>
            <c:idx val="1"/>
            <c:invertIfNegative val="0"/>
            <c:bubble3D val="0"/>
            <c:extLst>
              <c:ext xmlns:c16="http://schemas.microsoft.com/office/drawing/2014/chart" uri="{C3380CC4-5D6E-409C-BE32-E72D297353CC}">
                <c16:uniqueId val="{0000000A-C86E-43FA-82A9-79B28438FA28}"/>
              </c:ext>
            </c:extLst>
          </c:dPt>
          <c:dPt>
            <c:idx val="2"/>
            <c:invertIfNegative val="0"/>
            <c:bubble3D val="0"/>
            <c:extLst>
              <c:ext xmlns:c16="http://schemas.microsoft.com/office/drawing/2014/chart" uri="{C3380CC4-5D6E-409C-BE32-E72D297353CC}">
                <c16:uniqueId val="{0000000B-C86E-43FA-82A9-79B28438FA28}"/>
              </c:ext>
            </c:extLst>
          </c:dPt>
          <c:dPt>
            <c:idx val="3"/>
            <c:invertIfNegative val="0"/>
            <c:bubble3D val="0"/>
            <c:extLst>
              <c:ext xmlns:c16="http://schemas.microsoft.com/office/drawing/2014/chart" uri="{C3380CC4-5D6E-409C-BE32-E72D297353CC}">
                <c16:uniqueId val="{0000000C-C86E-43FA-82A9-79B28438FA28}"/>
              </c:ext>
            </c:extLst>
          </c:dPt>
          <c:dPt>
            <c:idx val="4"/>
            <c:invertIfNegative val="0"/>
            <c:bubble3D val="0"/>
            <c:extLst>
              <c:ext xmlns:c16="http://schemas.microsoft.com/office/drawing/2014/chart" uri="{C3380CC4-5D6E-409C-BE32-E72D297353CC}">
                <c16:uniqueId val="{0000000D-C86E-43FA-82A9-79B28438FA28}"/>
              </c:ext>
            </c:extLst>
          </c:dPt>
          <c:dPt>
            <c:idx val="5"/>
            <c:invertIfNegative val="0"/>
            <c:bubble3D val="0"/>
            <c:extLst>
              <c:ext xmlns:c16="http://schemas.microsoft.com/office/drawing/2014/chart" uri="{C3380CC4-5D6E-409C-BE32-E72D297353CC}">
                <c16:uniqueId val="{0000000E-C86E-43FA-82A9-79B28438FA28}"/>
              </c:ext>
            </c:extLst>
          </c:dPt>
          <c:dLbls>
            <c:dLbl>
              <c:idx val="0"/>
              <c:layout>
                <c:manualLayout>
                  <c:x val="-7.0599444877120828E-3"/>
                  <c:y val="-9.41326106123038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6E-43FA-82A9-79B28438FA28}"/>
                </c:ext>
              </c:extLst>
            </c:dLbl>
            <c:dLbl>
              <c:idx val="1"/>
              <c:layout>
                <c:manualLayout>
                  <c:x val="0"/>
                  <c:y val="-1.8814814814814815E-2"/>
                </c:manualLayout>
              </c:layout>
              <c:numFmt formatCode="#,##0.0_);[Red]\(#,##0.0\)" sourceLinked="0"/>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6E-43FA-82A9-79B28438FA28}"/>
                </c:ext>
              </c:extLst>
            </c:dLbl>
            <c:dLbl>
              <c:idx val="2"/>
              <c:layout>
                <c:manualLayout>
                  <c:x val="0"/>
                  <c:y val="-1.8814814814814815E-2"/>
                </c:manualLayout>
              </c:layout>
              <c:numFmt formatCode="#,##0.0_);[Red]\(#,##0.0\)" sourceLinked="0"/>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86E-43FA-82A9-79B28438FA28}"/>
                </c:ext>
              </c:extLst>
            </c:dLbl>
            <c:dLbl>
              <c:idx val="3"/>
              <c:layout>
                <c:manualLayout>
                  <c:x val="1.1759259259259259E-2"/>
                  <c:y val="-9.4074074074074077E-3"/>
                </c:manualLayout>
              </c:layout>
              <c:numFmt formatCode="#,##0.0_);[Red]\(#,##0.0\)" sourceLinked="0"/>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86E-43FA-82A9-79B28438FA28}"/>
                </c:ext>
              </c:extLst>
            </c:dLbl>
            <c:dLbl>
              <c:idx val="4"/>
              <c:layout>
                <c:manualLayout>
                  <c:x val="-4.7037037037037039E-3"/>
                  <c:y val="-1.4111111111111111E-2"/>
                </c:manualLayout>
              </c:layout>
              <c:numFmt formatCode="#,##0.0_);[Red]\(#,##0.0\)" sourceLinked="0"/>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86E-43FA-82A9-79B28438FA28}"/>
                </c:ext>
              </c:extLst>
            </c:dLbl>
            <c:dLbl>
              <c:idx val="5"/>
              <c:layout>
                <c:manualLayout>
                  <c:x val="7.0599444877121696E-3"/>
                  <c:y val="-1.4108032365311614E-2"/>
                </c:manualLayout>
              </c:layout>
              <c:numFmt formatCode="#,##0.0_);[Red]\(#,##0.0\)" sourceLinked="0"/>
              <c:spPr>
                <a:no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86E-43FA-82A9-79B28438FA28}"/>
                </c:ext>
              </c:extLst>
            </c:dLbl>
            <c:numFmt formatCode="#,##0.0_);[Red]\(#,##0.0\)" sourceLinked="0"/>
            <c:spPr>
              <a:no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高齢者設備工事!$B$17:$G$17</c:f>
              <c:strCache>
                <c:ptCount val="6"/>
                <c:pt idx="0">
                  <c:v>その他</c:v>
                </c:pt>
                <c:pt idx="1">
                  <c:v>トイレの工事</c:v>
                </c:pt>
                <c:pt idx="2">
                  <c:v>浴室の工事</c:v>
                </c:pt>
                <c:pt idx="3">
                  <c:v>屋内の段差の解消</c:v>
                </c:pt>
                <c:pt idx="4">
                  <c:v>階段や廊下の
手すりの設置</c:v>
                </c:pt>
                <c:pt idx="5">
                  <c:v>高齢者等のための
工事をした</c:v>
                </c:pt>
              </c:strCache>
            </c:strRef>
          </c:cat>
          <c:val>
            <c:numRef>
              <c:f>高齢者設備工事!$B$20:$G$20</c:f>
              <c:numCache>
                <c:formatCode>0.0</c:formatCode>
                <c:ptCount val="6"/>
                <c:pt idx="0">
                  <c:v>1.5177065767284992</c:v>
                </c:pt>
                <c:pt idx="1">
                  <c:v>6.9139966273187179</c:v>
                </c:pt>
                <c:pt idx="2">
                  <c:v>5.0590219224283306</c:v>
                </c:pt>
                <c:pt idx="3">
                  <c:v>2.4620573355817874</c:v>
                </c:pt>
                <c:pt idx="4">
                  <c:v>7.8920741989881957</c:v>
                </c:pt>
                <c:pt idx="5">
                  <c:v>14.468802698145025</c:v>
                </c:pt>
              </c:numCache>
            </c:numRef>
          </c:val>
          <c:extLst>
            <c:ext xmlns:c16="http://schemas.microsoft.com/office/drawing/2014/chart" uri="{C3380CC4-5D6E-409C-BE32-E72D297353CC}">
              <c16:uniqueId val="{0000000F-C86E-43FA-82A9-79B28438FA28}"/>
            </c:ext>
          </c:extLst>
        </c:ser>
        <c:dLbls>
          <c:showLegendKey val="0"/>
          <c:showVal val="0"/>
          <c:showCatName val="0"/>
          <c:showSerName val="0"/>
          <c:showPercent val="0"/>
          <c:showBubbleSize val="0"/>
        </c:dLbls>
        <c:gapWidth val="80"/>
        <c:axId val="43443328"/>
        <c:axId val="43444864"/>
      </c:barChart>
      <c:catAx>
        <c:axId val="43443328"/>
        <c:scaling>
          <c:orientation val="minMax"/>
        </c:scaling>
        <c:delete val="0"/>
        <c:axPos val="l"/>
        <c:numFmt formatCode="General" sourceLinked="1"/>
        <c:majorTickMark val="in"/>
        <c:minorTickMark val="none"/>
        <c:tickLblPos val="nextTo"/>
        <c:txPr>
          <a:bodyPr/>
          <a:lstStyle/>
          <a:p>
            <a:pPr algn="ctr" rtl="0">
              <a:defRPr sz="700"/>
            </a:pPr>
            <a:endParaRPr lang="ja-JP"/>
          </a:p>
        </c:txPr>
        <c:crossAx val="43444864"/>
        <c:crosses val="autoZero"/>
        <c:auto val="1"/>
        <c:lblAlgn val="ctr"/>
        <c:lblOffset val="100"/>
        <c:noMultiLvlLbl val="0"/>
      </c:catAx>
      <c:valAx>
        <c:axId val="43444864"/>
        <c:scaling>
          <c:orientation val="minMax"/>
        </c:scaling>
        <c:delete val="0"/>
        <c:axPos val="b"/>
        <c:majorGridlines/>
        <c:numFmt formatCode="General\%" sourceLinked="0"/>
        <c:majorTickMark val="in"/>
        <c:minorTickMark val="none"/>
        <c:tickLblPos val="nextTo"/>
        <c:txPr>
          <a:bodyPr/>
          <a:lstStyle/>
          <a:p>
            <a:pPr algn="ctr" rtl="0">
              <a:defRPr sz="900"/>
            </a:pPr>
            <a:endParaRPr lang="ja-JP"/>
          </a:p>
        </c:txPr>
        <c:crossAx val="43443328"/>
        <c:crosses val="autoZero"/>
        <c:crossBetween val="between"/>
      </c:valAx>
      <c:spPr>
        <a:ln>
          <a:solidFill>
            <a:schemeClr val="tx1"/>
          </a:solidFill>
        </a:ln>
      </c:spPr>
    </c:plotArea>
    <c:legend>
      <c:legendPos val="t"/>
      <c:layout>
        <c:manualLayout>
          <c:xMode val="edge"/>
          <c:yMode val="edge"/>
          <c:x val="0.65726999999999991"/>
          <c:y val="0.71872592592592599"/>
          <c:w val="0.26636740740740739"/>
          <c:h val="0.1771759259259259"/>
        </c:manualLayout>
      </c:layout>
      <c:overlay val="0"/>
      <c:spPr>
        <a:solidFill>
          <a:srgbClr xmlns:mc="http://schemas.openxmlformats.org/markup-compatibility/2006" xmlns:a14="http://schemas.microsoft.com/office/drawing/2010/main" val="FFFFFF" mc:Ignorable="a14" a14:legacySpreadsheetColorIndex="9"/>
        </a:solidFill>
        <a:ln w="3175">
          <a:solidFill>
            <a:srgbClr xmlns:mc="http://schemas.openxmlformats.org/markup-compatibility/2006" xmlns:a14="http://schemas.microsoft.com/office/drawing/2010/main" val="000000" mc:Ignorable="a14" a14:legacySpreadsheetColorIndex="64"/>
          </a:solidFill>
        </a:ln>
      </c:spPr>
      <c:txPr>
        <a:bodyPr/>
        <a:lstStyle/>
        <a:p>
          <a:pPr algn="l" rtl="0">
            <a:defRPr sz="6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図１４－１　子の居住地別高齢単身普通世帯の割合－秋田県（平成</a:t>
            </a:r>
            <a:r>
              <a:rPr lang="en-US" altLang="ja-JP" sz="800"/>
              <a:t>25</a:t>
            </a:r>
            <a:r>
              <a:rPr lang="ja-JP" sz="800"/>
              <a:t>年、30年）</a:t>
            </a:r>
          </a:p>
        </c:rich>
      </c:tx>
      <c:layout>
        <c:manualLayout>
          <c:xMode val="edge"/>
          <c:yMode val="edge"/>
          <c:x val="0.14814305670354741"/>
          <c:y val="4.2333183961760876E-2"/>
        </c:manualLayout>
      </c:layout>
      <c:overlay val="0"/>
    </c:title>
    <c:autoTitleDeleted val="0"/>
    <c:plotArea>
      <c:layout>
        <c:manualLayout>
          <c:layoutTarget val="inner"/>
          <c:xMode val="edge"/>
          <c:yMode val="edge"/>
          <c:x val="0.10291923244236068"/>
          <c:y val="0.26906965811965811"/>
          <c:w val="0.85470970612702901"/>
          <c:h val="0.63724801587301583"/>
        </c:manualLayout>
      </c:layout>
      <c:barChart>
        <c:barDir val="bar"/>
        <c:grouping val="percentStacked"/>
        <c:varyColors val="0"/>
        <c:ser>
          <c:idx val="0"/>
          <c:order val="0"/>
          <c:tx>
            <c:strRef>
              <c:f>子の居住地!$B$34</c:f>
              <c:strCache>
                <c:ptCount val="1"/>
                <c:pt idx="0">
                  <c:v>一緒に住んでいる</c:v>
                </c:pt>
              </c:strCache>
            </c:strRef>
          </c:tx>
          <c:spPr>
            <a:pattFill prst="solidDmnd">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0-8A50-4258-AD1D-150D7727DDC3}"/>
              </c:ext>
            </c:extLst>
          </c:dPt>
          <c:dPt>
            <c:idx val="1"/>
            <c:invertIfNegative val="0"/>
            <c:bubble3D val="0"/>
            <c:extLst>
              <c:ext xmlns:c16="http://schemas.microsoft.com/office/drawing/2014/chart" uri="{C3380CC4-5D6E-409C-BE32-E72D297353CC}">
                <c16:uniqueId val="{00000001-8A50-4258-AD1D-150D7727DDC3}"/>
              </c:ext>
            </c:extLst>
          </c:dPt>
          <c:dLbls>
            <c:dLbl>
              <c:idx val="0"/>
              <c:layout>
                <c:manualLayout>
                  <c:x val="-7.0555555555555554E-3"/>
                  <c:y val="0"/>
                </c:manualLayout>
              </c:layout>
              <c:spPr>
                <a:solidFill>
                  <a:schemeClr val="bg1"/>
                </a:solidFill>
                <a:ln>
                  <a:noFill/>
                </a:ln>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50-4258-AD1D-150D7727DDC3}"/>
                </c:ext>
              </c:extLst>
            </c:dLbl>
            <c:dLbl>
              <c:idx val="1"/>
              <c:layout>
                <c:manualLayout>
                  <c:x val="-1.5263043655732863E-2"/>
                  <c:y val="-9.1093280911120844E-2"/>
                </c:manualLayout>
              </c:layout>
              <c:spPr>
                <a:solidFill>
                  <a:schemeClr val="bg1"/>
                </a:solidFill>
                <a:ln>
                  <a:noFill/>
                </a:ln>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8A50-4258-AD1D-150D7727DDC3}"/>
                </c:ext>
              </c:extLst>
            </c:dLbl>
            <c:spPr>
              <a:solidFill>
                <a:schemeClr val="bg1"/>
              </a:solidFill>
              <a:ln>
                <a:noFill/>
              </a:ln>
            </c:spPr>
            <c:txPr>
              <a:bodyPr rot="0"/>
              <a:lstStyle/>
              <a:p>
                <a:pPr algn="ctr" rtl="0">
                  <a:defRPr sz="700"/>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子の居住地!$A$35:$A$36</c:f>
              <c:strCache>
                <c:ptCount val="2"/>
                <c:pt idx="0">
                  <c:v>平成30年</c:v>
                </c:pt>
                <c:pt idx="1">
                  <c:v>平成25年</c:v>
                </c:pt>
              </c:strCache>
            </c:strRef>
          </c:cat>
          <c:val>
            <c:numRef>
              <c:f>子の居住地!$B$35:$B$36</c:f>
              <c:numCache>
                <c:formatCode>0.0</c:formatCode>
                <c:ptCount val="2"/>
                <c:pt idx="0">
                  <c:v>2.7777777777777777</c:v>
                </c:pt>
                <c:pt idx="1">
                  <c:v>1.9607843137254899</c:v>
                </c:pt>
              </c:numCache>
            </c:numRef>
          </c:val>
          <c:extLst>
            <c:ext xmlns:c16="http://schemas.microsoft.com/office/drawing/2014/chart" uri="{C3380CC4-5D6E-409C-BE32-E72D297353CC}">
              <c16:uniqueId val="{00000002-8A50-4258-AD1D-150D7727DDC3}"/>
            </c:ext>
          </c:extLst>
        </c:ser>
        <c:ser>
          <c:idx val="1"/>
          <c:order val="1"/>
          <c:tx>
            <c:strRef>
              <c:f>子の居住地!$C$34</c:f>
              <c:strCache>
                <c:ptCount val="1"/>
                <c:pt idx="0">
                  <c:v>徒歩5分程度</c:v>
                </c:pt>
              </c:strCache>
            </c:strRef>
          </c:tx>
          <c:spPr>
            <a:pattFill prst="smCheck">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3-8A50-4258-AD1D-150D7727DDC3}"/>
              </c:ext>
            </c:extLst>
          </c:dPt>
          <c:dLbls>
            <c:dLbl>
              <c:idx val="0"/>
              <c:layout>
                <c:manualLayout>
                  <c:x val="2.673148148148148E-3"/>
                  <c:y val="0"/>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50-4258-AD1D-150D7727DDC3}"/>
                </c:ext>
              </c:extLst>
            </c:dLbl>
            <c:dLbl>
              <c:idx val="1"/>
              <c:layout>
                <c:manualLayout>
                  <c:x val="0"/>
                  <c:y val="1.62822252374491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50-4258-AD1D-150D7727DDC3}"/>
                </c:ext>
              </c:extLst>
            </c:dLbl>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子の居住地!$A$35:$A$36</c:f>
              <c:strCache>
                <c:ptCount val="2"/>
                <c:pt idx="0">
                  <c:v>平成30年</c:v>
                </c:pt>
                <c:pt idx="1">
                  <c:v>平成25年</c:v>
                </c:pt>
              </c:strCache>
            </c:strRef>
          </c:cat>
          <c:val>
            <c:numRef>
              <c:f>子の居住地!$C$35:$C$36</c:f>
              <c:numCache>
                <c:formatCode>0.0</c:formatCode>
                <c:ptCount val="2"/>
                <c:pt idx="0">
                  <c:v>4.9145299145299148</c:v>
                </c:pt>
                <c:pt idx="1">
                  <c:v>5.6372549019607847</c:v>
                </c:pt>
              </c:numCache>
            </c:numRef>
          </c:val>
          <c:extLst>
            <c:ext xmlns:c16="http://schemas.microsoft.com/office/drawing/2014/chart" uri="{C3380CC4-5D6E-409C-BE32-E72D297353CC}">
              <c16:uniqueId val="{00000005-8A50-4258-AD1D-150D7727DDC3}"/>
            </c:ext>
          </c:extLst>
        </c:ser>
        <c:ser>
          <c:idx val="2"/>
          <c:order val="2"/>
          <c:tx>
            <c:strRef>
              <c:f>子の居住地!$D$34</c:f>
              <c:strCache>
                <c:ptCount val="1"/>
                <c:pt idx="0">
                  <c:v>片道15分未満</c:v>
                </c:pt>
              </c:strCache>
            </c:strRef>
          </c:tx>
          <c:spPr>
            <a:pattFill prst="openDmnd">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子の居住地!$A$35:$A$36</c:f>
              <c:strCache>
                <c:ptCount val="2"/>
                <c:pt idx="0">
                  <c:v>平成30年</c:v>
                </c:pt>
                <c:pt idx="1">
                  <c:v>平成25年</c:v>
                </c:pt>
              </c:strCache>
            </c:strRef>
          </c:cat>
          <c:val>
            <c:numRef>
              <c:f>子の居住地!$D$35:$D$36</c:f>
              <c:numCache>
                <c:formatCode>0.0</c:formatCode>
                <c:ptCount val="2"/>
                <c:pt idx="0">
                  <c:v>12.606837606837606</c:v>
                </c:pt>
                <c:pt idx="1">
                  <c:v>13.480392156862745</c:v>
                </c:pt>
              </c:numCache>
            </c:numRef>
          </c:val>
          <c:extLst>
            <c:ext xmlns:c16="http://schemas.microsoft.com/office/drawing/2014/chart" uri="{C3380CC4-5D6E-409C-BE32-E72D297353CC}">
              <c16:uniqueId val="{00000006-8A50-4258-AD1D-150D7727DDC3}"/>
            </c:ext>
          </c:extLst>
        </c:ser>
        <c:ser>
          <c:idx val="3"/>
          <c:order val="3"/>
          <c:tx>
            <c:strRef>
              <c:f>子の居住地!$E$34</c:f>
              <c:strCache>
                <c:ptCount val="1"/>
                <c:pt idx="0">
                  <c:v>片道1時間未満</c:v>
                </c:pt>
              </c:strCache>
            </c:strRef>
          </c:tx>
          <c:spPr>
            <a:pattFill prst="ltVert">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子の居住地!$A$35:$A$36</c:f>
              <c:strCache>
                <c:ptCount val="2"/>
                <c:pt idx="0">
                  <c:v>平成30年</c:v>
                </c:pt>
                <c:pt idx="1">
                  <c:v>平成25年</c:v>
                </c:pt>
              </c:strCache>
            </c:strRef>
          </c:cat>
          <c:val>
            <c:numRef>
              <c:f>子の居住地!$E$35:$E$36</c:f>
              <c:numCache>
                <c:formatCode>0.0</c:formatCode>
                <c:ptCount val="2"/>
                <c:pt idx="0">
                  <c:v>21.153846153846153</c:v>
                </c:pt>
                <c:pt idx="1">
                  <c:v>21.568627450980394</c:v>
                </c:pt>
              </c:numCache>
            </c:numRef>
          </c:val>
          <c:extLst>
            <c:ext xmlns:c16="http://schemas.microsoft.com/office/drawing/2014/chart" uri="{C3380CC4-5D6E-409C-BE32-E72D297353CC}">
              <c16:uniqueId val="{00000007-8A50-4258-AD1D-150D7727DDC3}"/>
            </c:ext>
          </c:extLst>
        </c:ser>
        <c:ser>
          <c:idx val="4"/>
          <c:order val="4"/>
          <c:tx>
            <c:strRef>
              <c:f>子の居住地!$F$34</c:f>
              <c:strCache>
                <c:ptCount val="1"/>
                <c:pt idx="0">
                  <c:v>片道1時間以上</c:v>
                </c:pt>
              </c:strCache>
            </c:strRef>
          </c:tx>
          <c:spPr>
            <a:pattFill prst="pct25">
              <a:fgClr>
                <a:schemeClr val="accent5"/>
              </a:fgClr>
              <a:bgClr>
                <a:schemeClr val="bg1"/>
              </a:bgClr>
            </a:pattFill>
          </c:spPr>
          <c:invertIfNegative val="0"/>
          <c:dPt>
            <c:idx val="0"/>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9-8A50-4258-AD1D-150D7727DDC3}"/>
              </c:ext>
            </c:extLst>
          </c:dPt>
          <c:dPt>
            <c:idx val="1"/>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B-8A50-4258-AD1D-150D7727DDC3}"/>
              </c:ext>
            </c:extLst>
          </c:dPt>
          <c:dLbls>
            <c:dLbl>
              <c:idx val="0"/>
              <c:spPr>
                <a:solidFill>
                  <a:schemeClr val="bg1"/>
                </a:solidFill>
              </c:spPr>
              <c:txPr>
                <a:bodyPr/>
                <a:lstStyle/>
                <a:p>
                  <a:pPr>
                    <a:defRPr sz="700"/>
                  </a:pPr>
                  <a:endParaRPr lang="ja-JP"/>
                </a:p>
              </c:txPr>
              <c:showLegendKey val="0"/>
              <c:showVal val="1"/>
              <c:showCatName val="0"/>
              <c:showSerName val="0"/>
              <c:showPercent val="0"/>
              <c:showBubbleSize val="0"/>
              <c:extLst>
                <c:ext xmlns:c16="http://schemas.microsoft.com/office/drawing/2014/chart" uri="{C3380CC4-5D6E-409C-BE32-E72D297353CC}">
                  <c16:uniqueId val="{00000009-8A50-4258-AD1D-150D7727DDC3}"/>
                </c:ext>
              </c:extLst>
            </c:dLbl>
            <c:dLbl>
              <c:idx val="1"/>
              <c:spPr>
                <a:solidFill>
                  <a:schemeClr val="bg1"/>
                </a:solidFill>
              </c:spPr>
              <c:txPr>
                <a:bodyPr/>
                <a:lstStyle/>
                <a:p>
                  <a:pPr>
                    <a:defRPr sz="700"/>
                  </a:pPr>
                  <a:endParaRPr lang="ja-JP"/>
                </a:p>
              </c:txPr>
              <c:showLegendKey val="0"/>
              <c:showVal val="1"/>
              <c:showCatName val="0"/>
              <c:showSerName val="0"/>
              <c:showPercent val="0"/>
              <c:showBubbleSize val="0"/>
              <c:extLst>
                <c:ext xmlns:c16="http://schemas.microsoft.com/office/drawing/2014/chart" uri="{C3380CC4-5D6E-409C-BE32-E72D297353CC}">
                  <c16:uniqueId val="{0000000B-8A50-4258-AD1D-150D7727DDC3}"/>
                </c:ext>
              </c:extLst>
            </c:dLbl>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子の居住地!$A$35:$A$36</c:f>
              <c:strCache>
                <c:ptCount val="2"/>
                <c:pt idx="0">
                  <c:v>平成30年</c:v>
                </c:pt>
                <c:pt idx="1">
                  <c:v>平成25年</c:v>
                </c:pt>
              </c:strCache>
            </c:strRef>
          </c:cat>
          <c:val>
            <c:numRef>
              <c:f>子の居住地!$F$35:$F$36</c:f>
              <c:numCache>
                <c:formatCode>0.0</c:formatCode>
                <c:ptCount val="2"/>
                <c:pt idx="0">
                  <c:v>32.264957264957268</c:v>
                </c:pt>
                <c:pt idx="1">
                  <c:v>34.803921568627452</c:v>
                </c:pt>
              </c:numCache>
            </c:numRef>
          </c:val>
          <c:extLst>
            <c:ext xmlns:c16="http://schemas.microsoft.com/office/drawing/2014/chart" uri="{C3380CC4-5D6E-409C-BE32-E72D297353CC}">
              <c16:uniqueId val="{0000000C-8A50-4258-AD1D-150D7727DDC3}"/>
            </c:ext>
          </c:extLst>
        </c:ser>
        <c:ser>
          <c:idx val="5"/>
          <c:order val="5"/>
          <c:tx>
            <c:strRef>
              <c:f>子の居住地!$G$34</c:f>
              <c:strCache>
                <c:ptCount val="1"/>
                <c:pt idx="0">
                  <c:v>子はいない</c:v>
                </c:pt>
              </c:strCache>
            </c:strRef>
          </c:tx>
          <c:spPr>
            <a:pattFill prst="ltUpDiag">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子の居住地!$A$35:$A$36</c:f>
              <c:strCache>
                <c:ptCount val="2"/>
                <c:pt idx="0">
                  <c:v>平成30年</c:v>
                </c:pt>
                <c:pt idx="1">
                  <c:v>平成25年</c:v>
                </c:pt>
              </c:strCache>
            </c:strRef>
          </c:cat>
          <c:val>
            <c:numRef>
              <c:f>子の居住地!$G$35:$G$36</c:f>
              <c:numCache>
                <c:formatCode>0.0</c:formatCode>
                <c:ptCount val="2"/>
                <c:pt idx="0">
                  <c:v>26.495726495726498</c:v>
                </c:pt>
                <c:pt idx="1">
                  <c:v>22.549019607843139</c:v>
                </c:pt>
              </c:numCache>
            </c:numRef>
          </c:val>
          <c:extLst>
            <c:ext xmlns:c16="http://schemas.microsoft.com/office/drawing/2014/chart" uri="{C3380CC4-5D6E-409C-BE32-E72D297353CC}">
              <c16:uniqueId val="{0000000D-8A50-4258-AD1D-150D7727DDC3}"/>
            </c:ext>
          </c:extLst>
        </c:ser>
        <c:dLbls>
          <c:showLegendKey val="0"/>
          <c:showVal val="0"/>
          <c:showCatName val="0"/>
          <c:showSerName val="0"/>
          <c:showPercent val="0"/>
          <c:showBubbleSize val="0"/>
        </c:dLbls>
        <c:gapWidth val="50"/>
        <c:overlap val="100"/>
        <c:serLines>
          <c:spPr>
            <a:ln w="1905">
              <a:solidFill>
                <a:schemeClr val="tx1">
                  <a:shade val="95000"/>
                  <a:satMod val="105000"/>
                </a:schemeClr>
              </a:solidFill>
              <a:prstDash val="sysDot"/>
            </a:ln>
          </c:spPr>
        </c:serLines>
        <c:axId val="42756736"/>
        <c:axId val="42766720"/>
      </c:barChart>
      <c:catAx>
        <c:axId val="42756736"/>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800"/>
            </a:pPr>
            <a:endParaRPr lang="ja-JP"/>
          </a:p>
        </c:txPr>
        <c:crossAx val="42766720"/>
        <c:crosses val="autoZero"/>
        <c:auto val="1"/>
        <c:lblAlgn val="ctr"/>
        <c:lblOffset val="100"/>
        <c:noMultiLvlLbl val="0"/>
      </c:catAx>
      <c:valAx>
        <c:axId val="42766720"/>
        <c:scaling>
          <c:orientation val="minMax"/>
          <c:min val="0"/>
        </c:scaling>
        <c:delete val="0"/>
        <c:axPos val="b"/>
        <c:numFmt formatCode="0%" sourceLinked="1"/>
        <c:majorTickMark val="in"/>
        <c:minorTickMark val="none"/>
        <c:tickLblPos val="low"/>
        <c:spPr>
          <a:ln>
            <a:solidFill>
              <a:schemeClr val="tx1"/>
            </a:solidFill>
          </a:ln>
        </c:spPr>
        <c:txPr>
          <a:bodyPr/>
          <a:lstStyle/>
          <a:p>
            <a:pPr algn="ctr" rtl="0">
              <a:defRPr sz="800"/>
            </a:pPr>
            <a:endParaRPr lang="ja-JP"/>
          </a:p>
        </c:txPr>
        <c:crossAx val="42756736"/>
        <c:crosses val="autoZero"/>
        <c:crossBetween val="between"/>
        <c:majorUnit val="0.2"/>
        <c:minorUnit val="0.1"/>
      </c:valAx>
      <c:spPr>
        <a:ln w="3175">
          <a:solidFill>
            <a:schemeClr val="tx1"/>
          </a:solidFill>
        </a:ln>
      </c:spPr>
    </c:plotArea>
    <c:legend>
      <c:legendPos val="t"/>
      <c:layout>
        <c:manualLayout>
          <c:xMode val="edge"/>
          <c:yMode val="edge"/>
          <c:x val="0.05"/>
          <c:y val="0.1449102564102564"/>
          <c:w val="0.93998148148148164"/>
          <c:h val="8.5032051282051282E-2"/>
        </c:manualLayout>
      </c:layout>
      <c:overlay val="0"/>
      <c:spPr>
        <a:ln w="3175">
          <a:solidFill>
            <a:schemeClr val="tx1"/>
          </a:solidFill>
        </a:ln>
      </c:spPr>
      <c:txPr>
        <a:bodyPr/>
        <a:lstStyle/>
        <a:p>
          <a:pPr algn="l" rtl="0">
            <a:defRPr sz="700"/>
          </a:pPr>
          <a:endParaRPr lang="ja-JP"/>
        </a:p>
      </c:txPr>
    </c:legend>
    <c:plotVisOnly val="1"/>
    <c:dispBlanksAs val="gap"/>
    <c:showDLblsOverMax val="0"/>
  </c:chart>
  <c:spPr>
    <a:ln>
      <a:solidFill>
        <a:schemeClr val="tx1">
          <a:shade val="95000"/>
          <a:satMod val="105000"/>
        </a:schemeClr>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b="1"/>
            </a:pPr>
            <a:r>
              <a:rPr lang="ja-JP" sz="800" b="1"/>
              <a:t>図１４－２子の居住地別高齢者のいる夫婦のみの世帯の割合</a:t>
            </a:r>
            <a:endParaRPr lang="en-US" altLang="ja-JP" sz="800" b="1"/>
          </a:p>
          <a:p>
            <a:pPr algn="ctr" rtl="0">
              <a:defRPr sz="800" b="1"/>
            </a:pPr>
            <a:r>
              <a:rPr lang="ja-JP" altLang="en-US" sz="800" b="1"/>
              <a:t>　　　　　　　　　　　　　　　　　　　　　　　　－</a:t>
            </a:r>
            <a:r>
              <a:rPr lang="ja-JP" sz="800" b="1"/>
              <a:t>秋田県（平成</a:t>
            </a:r>
            <a:r>
              <a:rPr lang="en-US" altLang="ja-JP" sz="800" b="1"/>
              <a:t>25</a:t>
            </a:r>
            <a:r>
              <a:rPr lang="ja-JP" sz="800" b="1"/>
              <a:t>年、30年）</a:t>
            </a:r>
          </a:p>
        </c:rich>
      </c:tx>
      <c:layout>
        <c:manualLayout>
          <c:xMode val="edge"/>
          <c:yMode val="edge"/>
          <c:x val="0.12716767364299869"/>
          <c:y val="4.5387299242696105E-3"/>
        </c:manualLayout>
      </c:layout>
      <c:overlay val="0"/>
    </c:title>
    <c:autoTitleDeleted val="0"/>
    <c:plotArea>
      <c:layout>
        <c:manualLayout>
          <c:layoutTarget val="inner"/>
          <c:xMode val="edge"/>
          <c:yMode val="edge"/>
          <c:x val="9.7992592592592589E-2"/>
          <c:y val="0.23436055263061639"/>
          <c:w val="0.85908277777777775"/>
          <c:h val="0.65740692292910607"/>
        </c:manualLayout>
      </c:layout>
      <c:barChart>
        <c:barDir val="bar"/>
        <c:grouping val="percentStacked"/>
        <c:varyColors val="0"/>
        <c:ser>
          <c:idx val="0"/>
          <c:order val="0"/>
          <c:tx>
            <c:strRef>
              <c:f>子の居住地!$J$34</c:f>
              <c:strCache>
                <c:ptCount val="1"/>
                <c:pt idx="0">
                  <c:v>一緒に住んでいる</c:v>
                </c:pt>
              </c:strCache>
            </c:strRef>
          </c:tx>
          <c:spPr>
            <a:pattFill prst="solidDmnd">
              <a:fgClr>
                <a:schemeClr val="accent5"/>
              </a:fgClr>
              <a:bgClr>
                <a:schemeClr val="bg1"/>
              </a:bgClr>
            </a:pattFill>
            <a:ln w="3175">
              <a:solidFill>
                <a:schemeClr val="tx1">
                  <a:shade val="95000"/>
                  <a:satMod val="105000"/>
                </a:schemeClr>
              </a:solidFill>
            </a:ln>
          </c:spPr>
          <c:invertIfNegative val="0"/>
          <c:dLbls>
            <c:dLbl>
              <c:idx val="1"/>
              <c:layout>
                <c:manualLayout>
                  <c:x val="-9.8216443520711492E-3"/>
                  <c:y val="-7.64430064372327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FC-422F-8A8B-92289BFC7962}"/>
                </c:ext>
              </c:extLst>
            </c:dLbl>
            <c:spPr>
              <a:solidFill>
                <a:schemeClr val="bg1"/>
              </a:solidFill>
            </c:spPr>
            <c:txPr>
              <a:bodyPr rot="0"/>
              <a:lstStyle/>
              <a:p>
                <a:pPr algn="ctr" rtl="0">
                  <a:defRPr sz="700"/>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子の居住地!$I$35:$I$36</c:f>
              <c:strCache>
                <c:ptCount val="2"/>
                <c:pt idx="0">
                  <c:v>平成30年</c:v>
                </c:pt>
                <c:pt idx="1">
                  <c:v>平成25年</c:v>
                </c:pt>
              </c:strCache>
            </c:strRef>
          </c:cat>
          <c:val>
            <c:numRef>
              <c:f>子の居住地!$J$35:$J$36</c:f>
              <c:numCache>
                <c:formatCode>0.0</c:formatCode>
                <c:ptCount val="2"/>
                <c:pt idx="0">
                  <c:v>2.5751072961373391</c:v>
                </c:pt>
                <c:pt idx="1">
                  <c:v>1.6129032258064515</c:v>
                </c:pt>
              </c:numCache>
            </c:numRef>
          </c:val>
          <c:extLst>
            <c:ext xmlns:c16="http://schemas.microsoft.com/office/drawing/2014/chart" uri="{C3380CC4-5D6E-409C-BE32-E72D297353CC}">
              <c16:uniqueId val="{00000000-712F-408E-B679-4C5D0BE7EE0A}"/>
            </c:ext>
          </c:extLst>
        </c:ser>
        <c:ser>
          <c:idx val="1"/>
          <c:order val="1"/>
          <c:tx>
            <c:strRef>
              <c:f>子の居住地!$K$34</c:f>
              <c:strCache>
                <c:ptCount val="1"/>
                <c:pt idx="0">
                  <c:v>徒歩5分程度</c:v>
                </c:pt>
              </c:strCache>
            </c:strRef>
          </c:tx>
          <c:spPr>
            <a:pattFill prst="smCheck">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1-712F-408E-B679-4C5D0BE7EE0A}"/>
              </c:ext>
            </c:extLst>
          </c:dPt>
          <c:dLbls>
            <c:dLbl>
              <c:idx val="0"/>
              <c:layout>
                <c:manualLayout>
                  <c:x val="2.673148148148148E-3"/>
                  <c:y val="0"/>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2F-408E-B679-4C5D0BE7EE0A}"/>
                </c:ext>
              </c:extLst>
            </c:dLbl>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子の居住地!$I$35:$I$36</c:f>
              <c:strCache>
                <c:ptCount val="2"/>
                <c:pt idx="0">
                  <c:v>平成30年</c:v>
                </c:pt>
                <c:pt idx="1">
                  <c:v>平成25年</c:v>
                </c:pt>
              </c:strCache>
            </c:strRef>
          </c:cat>
          <c:val>
            <c:numRef>
              <c:f>子の居住地!$K$35:$K$36</c:f>
              <c:numCache>
                <c:formatCode>0.0</c:formatCode>
                <c:ptCount val="2"/>
                <c:pt idx="0">
                  <c:v>6.866952789699571</c:v>
                </c:pt>
                <c:pt idx="1">
                  <c:v>6.9124423963133648</c:v>
                </c:pt>
              </c:numCache>
            </c:numRef>
          </c:val>
          <c:extLst>
            <c:ext xmlns:c16="http://schemas.microsoft.com/office/drawing/2014/chart" uri="{C3380CC4-5D6E-409C-BE32-E72D297353CC}">
              <c16:uniqueId val="{00000002-712F-408E-B679-4C5D0BE7EE0A}"/>
            </c:ext>
          </c:extLst>
        </c:ser>
        <c:ser>
          <c:idx val="2"/>
          <c:order val="2"/>
          <c:tx>
            <c:strRef>
              <c:f>子の居住地!$L$34</c:f>
              <c:strCache>
                <c:ptCount val="1"/>
                <c:pt idx="0">
                  <c:v>片道15分未満</c:v>
                </c:pt>
              </c:strCache>
            </c:strRef>
          </c:tx>
          <c:spPr>
            <a:pattFill prst="openDmnd">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子の居住地!$I$35:$I$36</c:f>
              <c:strCache>
                <c:ptCount val="2"/>
                <c:pt idx="0">
                  <c:v>平成30年</c:v>
                </c:pt>
                <c:pt idx="1">
                  <c:v>平成25年</c:v>
                </c:pt>
              </c:strCache>
            </c:strRef>
          </c:cat>
          <c:val>
            <c:numRef>
              <c:f>子の居住地!$L$35:$L$36</c:f>
              <c:numCache>
                <c:formatCode>0.0</c:formatCode>
                <c:ptCount val="2"/>
                <c:pt idx="0">
                  <c:v>14.592274678111588</c:v>
                </c:pt>
                <c:pt idx="1">
                  <c:v>15.43778801843318</c:v>
                </c:pt>
              </c:numCache>
            </c:numRef>
          </c:val>
          <c:extLst>
            <c:ext xmlns:c16="http://schemas.microsoft.com/office/drawing/2014/chart" uri="{C3380CC4-5D6E-409C-BE32-E72D297353CC}">
              <c16:uniqueId val="{00000003-712F-408E-B679-4C5D0BE7EE0A}"/>
            </c:ext>
          </c:extLst>
        </c:ser>
        <c:ser>
          <c:idx val="3"/>
          <c:order val="3"/>
          <c:tx>
            <c:strRef>
              <c:f>子の居住地!$M$34</c:f>
              <c:strCache>
                <c:ptCount val="1"/>
                <c:pt idx="0">
                  <c:v>片道1時間未満</c:v>
                </c:pt>
              </c:strCache>
            </c:strRef>
          </c:tx>
          <c:spPr>
            <a:pattFill prst="ltVert">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子の居住地!$I$35:$I$36</c:f>
              <c:strCache>
                <c:ptCount val="2"/>
                <c:pt idx="0">
                  <c:v>平成30年</c:v>
                </c:pt>
                <c:pt idx="1">
                  <c:v>平成25年</c:v>
                </c:pt>
              </c:strCache>
            </c:strRef>
          </c:cat>
          <c:val>
            <c:numRef>
              <c:f>子の居住地!$M$35:$M$36</c:f>
              <c:numCache>
                <c:formatCode>0.0</c:formatCode>
                <c:ptCount val="2"/>
                <c:pt idx="0">
                  <c:v>26.824034334763947</c:v>
                </c:pt>
                <c:pt idx="1">
                  <c:v>25.115207373271893</c:v>
                </c:pt>
              </c:numCache>
            </c:numRef>
          </c:val>
          <c:extLst>
            <c:ext xmlns:c16="http://schemas.microsoft.com/office/drawing/2014/chart" uri="{C3380CC4-5D6E-409C-BE32-E72D297353CC}">
              <c16:uniqueId val="{00000004-712F-408E-B679-4C5D0BE7EE0A}"/>
            </c:ext>
          </c:extLst>
        </c:ser>
        <c:ser>
          <c:idx val="4"/>
          <c:order val="4"/>
          <c:tx>
            <c:strRef>
              <c:f>子の居住地!$N$34</c:f>
              <c:strCache>
                <c:ptCount val="1"/>
                <c:pt idx="0">
                  <c:v>片道1時間以上</c:v>
                </c:pt>
              </c:strCache>
            </c:strRef>
          </c:tx>
          <c:spPr>
            <a:pattFill prst="pct25">
              <a:fgClr>
                <a:schemeClr val="accent5"/>
              </a:fgClr>
              <a:bgClr>
                <a:schemeClr val="bg1"/>
              </a:bgClr>
            </a:pattFill>
          </c:spPr>
          <c:invertIfNegative val="0"/>
          <c:dPt>
            <c:idx val="0"/>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6-712F-408E-B679-4C5D0BE7EE0A}"/>
              </c:ext>
            </c:extLst>
          </c:dPt>
          <c:dPt>
            <c:idx val="1"/>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8-712F-408E-B679-4C5D0BE7EE0A}"/>
              </c:ext>
            </c:extLst>
          </c:dPt>
          <c:dLbls>
            <c:dLbl>
              <c:idx val="0"/>
              <c:spPr>
                <a:solidFill>
                  <a:schemeClr val="bg1"/>
                </a:solidFill>
              </c:spPr>
              <c:txPr>
                <a:bodyPr/>
                <a:lstStyle/>
                <a:p>
                  <a:pPr>
                    <a:defRPr sz="700"/>
                  </a:pPr>
                  <a:endParaRPr lang="ja-JP"/>
                </a:p>
              </c:txPr>
              <c:showLegendKey val="0"/>
              <c:showVal val="1"/>
              <c:showCatName val="0"/>
              <c:showSerName val="0"/>
              <c:showPercent val="0"/>
              <c:showBubbleSize val="0"/>
              <c:extLst>
                <c:ext xmlns:c16="http://schemas.microsoft.com/office/drawing/2014/chart" uri="{C3380CC4-5D6E-409C-BE32-E72D297353CC}">
                  <c16:uniqueId val="{00000006-712F-408E-B679-4C5D0BE7EE0A}"/>
                </c:ext>
              </c:extLst>
            </c:dLbl>
            <c:dLbl>
              <c:idx val="1"/>
              <c:spPr>
                <a:solidFill>
                  <a:schemeClr val="bg1"/>
                </a:solidFill>
              </c:spPr>
              <c:txPr>
                <a:bodyPr/>
                <a:lstStyle/>
                <a:p>
                  <a:pPr>
                    <a:defRPr sz="700"/>
                  </a:pPr>
                  <a:endParaRPr lang="ja-JP"/>
                </a:p>
              </c:txPr>
              <c:showLegendKey val="0"/>
              <c:showVal val="1"/>
              <c:showCatName val="0"/>
              <c:showSerName val="0"/>
              <c:showPercent val="0"/>
              <c:showBubbleSize val="0"/>
              <c:extLst>
                <c:ext xmlns:c16="http://schemas.microsoft.com/office/drawing/2014/chart" uri="{C3380CC4-5D6E-409C-BE32-E72D297353CC}">
                  <c16:uniqueId val="{00000008-712F-408E-B679-4C5D0BE7EE0A}"/>
                </c:ext>
              </c:extLst>
            </c:dLbl>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子の居住地!$I$35:$I$36</c:f>
              <c:strCache>
                <c:ptCount val="2"/>
                <c:pt idx="0">
                  <c:v>平成30年</c:v>
                </c:pt>
                <c:pt idx="1">
                  <c:v>平成25年</c:v>
                </c:pt>
              </c:strCache>
            </c:strRef>
          </c:cat>
          <c:val>
            <c:numRef>
              <c:f>子の居住地!$N$35:$N$36</c:f>
              <c:numCache>
                <c:formatCode>0.0</c:formatCode>
                <c:ptCount val="2"/>
                <c:pt idx="0">
                  <c:v>38.197424892703864</c:v>
                </c:pt>
                <c:pt idx="1">
                  <c:v>39.400921658986178</c:v>
                </c:pt>
              </c:numCache>
            </c:numRef>
          </c:val>
          <c:extLst>
            <c:ext xmlns:c16="http://schemas.microsoft.com/office/drawing/2014/chart" uri="{C3380CC4-5D6E-409C-BE32-E72D297353CC}">
              <c16:uniqueId val="{00000009-712F-408E-B679-4C5D0BE7EE0A}"/>
            </c:ext>
          </c:extLst>
        </c:ser>
        <c:ser>
          <c:idx val="5"/>
          <c:order val="5"/>
          <c:tx>
            <c:strRef>
              <c:f>子の居住地!$O$34</c:f>
              <c:strCache>
                <c:ptCount val="1"/>
                <c:pt idx="0">
                  <c:v>子はいない</c:v>
                </c:pt>
              </c:strCache>
            </c:strRef>
          </c:tx>
          <c:spPr>
            <a:pattFill prst="ltUpDiag">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子の居住地!$I$35:$I$36</c:f>
              <c:strCache>
                <c:ptCount val="2"/>
                <c:pt idx="0">
                  <c:v>平成30年</c:v>
                </c:pt>
                <c:pt idx="1">
                  <c:v>平成25年</c:v>
                </c:pt>
              </c:strCache>
            </c:strRef>
          </c:cat>
          <c:val>
            <c:numRef>
              <c:f>子の居住地!$O$35:$O$36</c:f>
              <c:numCache>
                <c:formatCode>0.0</c:formatCode>
                <c:ptCount val="2"/>
                <c:pt idx="0">
                  <c:v>10.944206008583691</c:v>
                </c:pt>
                <c:pt idx="1">
                  <c:v>11.52073732718894</c:v>
                </c:pt>
              </c:numCache>
            </c:numRef>
          </c:val>
          <c:extLst>
            <c:ext xmlns:c16="http://schemas.microsoft.com/office/drawing/2014/chart" uri="{C3380CC4-5D6E-409C-BE32-E72D297353CC}">
              <c16:uniqueId val="{0000000A-712F-408E-B679-4C5D0BE7EE0A}"/>
            </c:ext>
          </c:extLst>
        </c:ser>
        <c:dLbls>
          <c:showLegendKey val="0"/>
          <c:showVal val="0"/>
          <c:showCatName val="0"/>
          <c:showSerName val="0"/>
          <c:showPercent val="0"/>
          <c:showBubbleSize val="0"/>
        </c:dLbls>
        <c:gapWidth val="50"/>
        <c:overlap val="100"/>
        <c:serLines>
          <c:spPr>
            <a:ln w="1905">
              <a:solidFill>
                <a:schemeClr val="tx1">
                  <a:shade val="95000"/>
                  <a:satMod val="105000"/>
                </a:schemeClr>
              </a:solidFill>
              <a:prstDash val="sysDot"/>
            </a:ln>
          </c:spPr>
        </c:serLines>
        <c:axId val="139502720"/>
        <c:axId val="139504256"/>
      </c:barChart>
      <c:catAx>
        <c:axId val="139502720"/>
        <c:scaling>
          <c:orientation val="minMax"/>
        </c:scaling>
        <c:delete val="0"/>
        <c:axPos val="l"/>
        <c:numFmt formatCode="General" sourceLinked="1"/>
        <c:majorTickMark val="out"/>
        <c:minorTickMark val="none"/>
        <c:tickLblPos val="nextTo"/>
        <c:spPr>
          <a:ln>
            <a:solidFill>
              <a:schemeClr val="tx1">
                <a:shade val="95000"/>
                <a:satMod val="105000"/>
              </a:schemeClr>
            </a:solidFill>
          </a:ln>
        </c:spPr>
        <c:txPr>
          <a:bodyPr/>
          <a:lstStyle/>
          <a:p>
            <a:pPr algn="ctr" rtl="0">
              <a:defRPr sz="800"/>
            </a:pPr>
            <a:endParaRPr lang="ja-JP"/>
          </a:p>
        </c:txPr>
        <c:crossAx val="139504256"/>
        <c:crosses val="autoZero"/>
        <c:auto val="1"/>
        <c:lblAlgn val="ctr"/>
        <c:lblOffset val="100"/>
        <c:noMultiLvlLbl val="0"/>
      </c:catAx>
      <c:valAx>
        <c:axId val="139504256"/>
        <c:scaling>
          <c:orientation val="minMax"/>
          <c:min val="0"/>
        </c:scaling>
        <c:delete val="0"/>
        <c:axPos val="b"/>
        <c:numFmt formatCode="0%" sourceLinked="1"/>
        <c:majorTickMark val="in"/>
        <c:minorTickMark val="none"/>
        <c:tickLblPos val="low"/>
        <c:spPr>
          <a:ln>
            <a:solidFill>
              <a:schemeClr val="tx1">
                <a:shade val="95000"/>
                <a:satMod val="105000"/>
              </a:schemeClr>
            </a:solidFill>
          </a:ln>
        </c:spPr>
        <c:txPr>
          <a:bodyPr/>
          <a:lstStyle/>
          <a:p>
            <a:pPr algn="ctr" rtl="0">
              <a:defRPr sz="800"/>
            </a:pPr>
            <a:endParaRPr lang="ja-JP"/>
          </a:p>
        </c:txPr>
        <c:crossAx val="139502720"/>
        <c:crosses val="autoZero"/>
        <c:crossBetween val="between"/>
        <c:majorUnit val="0.2"/>
        <c:minorUnit val="0.1"/>
      </c:valAx>
      <c:spPr>
        <a:ln w="3175">
          <a:solidFill>
            <a:schemeClr val="tx1"/>
          </a:solidFill>
        </a:ln>
      </c:spPr>
    </c:plotArea>
    <c:legend>
      <c:legendPos val="t"/>
      <c:layout>
        <c:manualLayout>
          <c:xMode val="edge"/>
          <c:yMode val="edge"/>
          <c:x val="5.2455314418289913E-2"/>
          <c:y val="0.14407619806124647"/>
          <c:w val="0.92822222222222206"/>
          <c:h val="8.5032051282051282E-2"/>
        </c:manualLayout>
      </c:layout>
      <c:overlay val="0"/>
      <c:spPr>
        <a:ln w="3175">
          <a:solidFill>
            <a:schemeClr val="tx1"/>
          </a:solidFill>
        </a:ln>
      </c:spPr>
      <c:txPr>
        <a:bodyPr/>
        <a:lstStyle/>
        <a:p>
          <a:pPr algn="l" rtl="0">
            <a:defRPr sz="700"/>
          </a:pPr>
          <a:endParaRPr lang="ja-JP"/>
        </a:p>
      </c:txPr>
    </c:legend>
    <c:plotVisOnly val="1"/>
    <c:dispBlanksAs val="gap"/>
    <c:showDLblsOverMax val="0"/>
  </c:chart>
  <c:spPr>
    <a:ln>
      <a:solidFill>
        <a:schemeClr val="tx1">
          <a:shade val="95000"/>
          <a:satMod val="105000"/>
        </a:schemeClr>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図１４－３　子の居住地別高齢単身普通世帯の割合－全国、秋田県（平成30年）</a:t>
            </a:r>
          </a:p>
        </c:rich>
      </c:tx>
      <c:layout>
        <c:manualLayout>
          <c:xMode val="edge"/>
          <c:yMode val="edge"/>
          <c:x val="0.15059848228527237"/>
          <c:y val="1.1714942571314124E-3"/>
        </c:manualLayout>
      </c:layout>
      <c:overlay val="0"/>
    </c:title>
    <c:autoTitleDeleted val="0"/>
    <c:plotArea>
      <c:layout>
        <c:manualLayout>
          <c:layoutTarget val="inner"/>
          <c:xMode val="edge"/>
          <c:yMode val="edge"/>
          <c:x val="9.3081734254918072E-2"/>
          <c:y val="0.20748455861245127"/>
          <c:w val="0.86476605329715939"/>
          <c:h val="0.6842827607442924"/>
        </c:manualLayout>
      </c:layout>
      <c:barChart>
        <c:barDir val="bar"/>
        <c:grouping val="percentStacked"/>
        <c:varyColors val="0"/>
        <c:ser>
          <c:idx val="0"/>
          <c:order val="0"/>
          <c:tx>
            <c:strRef>
              <c:f>子の居住地!$B$55</c:f>
              <c:strCache>
                <c:ptCount val="1"/>
                <c:pt idx="0">
                  <c:v>一緒に住んでいる</c:v>
                </c:pt>
              </c:strCache>
            </c:strRef>
          </c:tx>
          <c:spPr>
            <a:pattFill prst="solidDmnd">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0-EDFB-47C3-960A-EFD71573C689}"/>
              </c:ext>
            </c:extLst>
          </c:dPt>
          <c:dPt>
            <c:idx val="1"/>
            <c:invertIfNegative val="0"/>
            <c:bubble3D val="0"/>
            <c:extLst>
              <c:ext xmlns:c16="http://schemas.microsoft.com/office/drawing/2014/chart" uri="{C3380CC4-5D6E-409C-BE32-E72D297353CC}">
                <c16:uniqueId val="{00000001-EDFB-47C3-960A-EFD71573C689}"/>
              </c:ext>
            </c:extLst>
          </c:dPt>
          <c:dLbls>
            <c:dLbl>
              <c:idx val="0"/>
              <c:layout>
                <c:manualLayout>
                  <c:x val="-7.0555555555555554E-3"/>
                  <c:y val="0"/>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FB-47C3-960A-EFD71573C689}"/>
                </c:ext>
              </c:extLst>
            </c:dLbl>
            <c:dLbl>
              <c:idx val="1"/>
              <c:spPr>
                <a:solidFill>
                  <a:schemeClr val="bg1"/>
                </a:solidFill>
              </c:spPr>
              <c:txPr>
                <a:bodyPr/>
                <a:lstStyle/>
                <a:p>
                  <a:pPr>
                    <a:defRPr sz="700"/>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FB-47C3-960A-EFD71573C689}"/>
                </c:ext>
              </c:extLst>
            </c:dLbl>
            <c:spPr>
              <a:solidFill>
                <a:schemeClr val="bg1"/>
              </a:solidFill>
            </c:spPr>
            <c:txPr>
              <a:bodyPr rot="0"/>
              <a:lstStyle/>
              <a:p>
                <a:pPr algn="ctr" rtl="0">
                  <a:defRPr sz="700"/>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子の居住地!$A$56:$A$57</c:f>
              <c:strCache>
                <c:ptCount val="2"/>
                <c:pt idx="0">
                  <c:v>秋田県</c:v>
                </c:pt>
                <c:pt idx="1">
                  <c:v>全国</c:v>
                </c:pt>
              </c:strCache>
            </c:strRef>
          </c:cat>
          <c:val>
            <c:numRef>
              <c:f>子の居住地!$B$56:$B$57</c:f>
              <c:numCache>
                <c:formatCode>General</c:formatCode>
                <c:ptCount val="2"/>
                <c:pt idx="0" formatCode="0.0">
                  <c:v>2.7777777777777777</c:v>
                </c:pt>
                <c:pt idx="1">
                  <c:v>4.3</c:v>
                </c:pt>
              </c:numCache>
            </c:numRef>
          </c:val>
          <c:extLst>
            <c:ext xmlns:c16="http://schemas.microsoft.com/office/drawing/2014/chart" uri="{C3380CC4-5D6E-409C-BE32-E72D297353CC}">
              <c16:uniqueId val="{00000002-EDFB-47C3-960A-EFD71573C689}"/>
            </c:ext>
          </c:extLst>
        </c:ser>
        <c:ser>
          <c:idx val="1"/>
          <c:order val="1"/>
          <c:tx>
            <c:strRef>
              <c:f>子の居住地!$C$55</c:f>
              <c:strCache>
                <c:ptCount val="1"/>
                <c:pt idx="0">
                  <c:v>徒歩5分程度</c:v>
                </c:pt>
              </c:strCache>
            </c:strRef>
          </c:tx>
          <c:spPr>
            <a:pattFill prst="smCheck">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3-EDFB-47C3-960A-EFD71573C689}"/>
              </c:ext>
            </c:extLst>
          </c:dPt>
          <c:dLbls>
            <c:dLbl>
              <c:idx val="0"/>
              <c:layout>
                <c:manualLayout>
                  <c:x val="2.673148148148148E-3"/>
                  <c:y val="0"/>
                </c:manualLayout>
              </c:layout>
              <c:spPr>
                <a:solidFill>
                  <a:schemeClr val="bg1"/>
                </a:solidFill>
              </c:spPr>
              <c:txPr>
                <a:bodyPr/>
                <a:lstStyle/>
                <a:p>
                  <a:pPr>
                    <a:defRPr sz="7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FB-47C3-960A-EFD71573C689}"/>
                </c:ext>
              </c:extLst>
            </c:dLbl>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子の居住地!$A$56:$A$57</c:f>
              <c:strCache>
                <c:ptCount val="2"/>
                <c:pt idx="0">
                  <c:v>秋田県</c:v>
                </c:pt>
                <c:pt idx="1">
                  <c:v>全国</c:v>
                </c:pt>
              </c:strCache>
            </c:strRef>
          </c:cat>
          <c:val>
            <c:numRef>
              <c:f>子の居住地!$C$56:$C$57</c:f>
              <c:numCache>
                <c:formatCode>General</c:formatCode>
                <c:ptCount val="2"/>
                <c:pt idx="0" formatCode="0.0">
                  <c:v>4.9145299145299148</c:v>
                </c:pt>
                <c:pt idx="1">
                  <c:v>7.7</c:v>
                </c:pt>
              </c:numCache>
            </c:numRef>
          </c:val>
          <c:extLst>
            <c:ext xmlns:c16="http://schemas.microsoft.com/office/drawing/2014/chart" uri="{C3380CC4-5D6E-409C-BE32-E72D297353CC}">
              <c16:uniqueId val="{00000004-EDFB-47C3-960A-EFD71573C689}"/>
            </c:ext>
          </c:extLst>
        </c:ser>
        <c:ser>
          <c:idx val="2"/>
          <c:order val="2"/>
          <c:tx>
            <c:strRef>
              <c:f>子の居住地!$D$55</c:f>
              <c:strCache>
                <c:ptCount val="1"/>
                <c:pt idx="0">
                  <c:v>片道15分未満</c:v>
                </c:pt>
              </c:strCache>
            </c:strRef>
          </c:tx>
          <c:spPr>
            <a:pattFill prst="openDmnd">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子の居住地!$A$56:$A$57</c:f>
              <c:strCache>
                <c:ptCount val="2"/>
                <c:pt idx="0">
                  <c:v>秋田県</c:v>
                </c:pt>
                <c:pt idx="1">
                  <c:v>全国</c:v>
                </c:pt>
              </c:strCache>
            </c:strRef>
          </c:cat>
          <c:val>
            <c:numRef>
              <c:f>子の居住地!$D$56:$D$57</c:f>
              <c:numCache>
                <c:formatCode>General</c:formatCode>
                <c:ptCount val="2"/>
                <c:pt idx="0" formatCode="0.0">
                  <c:v>12.606837606837606</c:v>
                </c:pt>
                <c:pt idx="1">
                  <c:v>12.9</c:v>
                </c:pt>
              </c:numCache>
            </c:numRef>
          </c:val>
          <c:extLst>
            <c:ext xmlns:c16="http://schemas.microsoft.com/office/drawing/2014/chart" uri="{C3380CC4-5D6E-409C-BE32-E72D297353CC}">
              <c16:uniqueId val="{00000005-EDFB-47C3-960A-EFD71573C689}"/>
            </c:ext>
          </c:extLst>
        </c:ser>
        <c:ser>
          <c:idx val="3"/>
          <c:order val="3"/>
          <c:tx>
            <c:strRef>
              <c:f>子の居住地!$E$55</c:f>
              <c:strCache>
                <c:ptCount val="1"/>
                <c:pt idx="0">
                  <c:v>片道1時間未満</c:v>
                </c:pt>
              </c:strCache>
            </c:strRef>
          </c:tx>
          <c:spPr>
            <a:pattFill prst="ltVert">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子の居住地!$A$56:$A$57</c:f>
              <c:strCache>
                <c:ptCount val="2"/>
                <c:pt idx="0">
                  <c:v>秋田県</c:v>
                </c:pt>
                <c:pt idx="1">
                  <c:v>全国</c:v>
                </c:pt>
              </c:strCache>
            </c:strRef>
          </c:cat>
          <c:val>
            <c:numRef>
              <c:f>子の居住地!$E$56:$E$57</c:f>
              <c:numCache>
                <c:formatCode>General</c:formatCode>
                <c:ptCount val="2"/>
                <c:pt idx="0" formatCode="0.0">
                  <c:v>21.153846153846153</c:v>
                </c:pt>
                <c:pt idx="1">
                  <c:v>23.5</c:v>
                </c:pt>
              </c:numCache>
            </c:numRef>
          </c:val>
          <c:extLst>
            <c:ext xmlns:c16="http://schemas.microsoft.com/office/drawing/2014/chart" uri="{C3380CC4-5D6E-409C-BE32-E72D297353CC}">
              <c16:uniqueId val="{00000006-EDFB-47C3-960A-EFD71573C689}"/>
            </c:ext>
          </c:extLst>
        </c:ser>
        <c:ser>
          <c:idx val="4"/>
          <c:order val="4"/>
          <c:tx>
            <c:strRef>
              <c:f>子の居住地!$F$55</c:f>
              <c:strCache>
                <c:ptCount val="1"/>
                <c:pt idx="0">
                  <c:v>片道1時間以上</c:v>
                </c:pt>
              </c:strCache>
            </c:strRef>
          </c:tx>
          <c:spPr>
            <a:pattFill prst="pct25">
              <a:fgClr>
                <a:schemeClr val="accent5"/>
              </a:fgClr>
              <a:bgClr>
                <a:schemeClr val="bg1"/>
              </a:bgClr>
            </a:pattFill>
          </c:spPr>
          <c:invertIfNegative val="0"/>
          <c:dPt>
            <c:idx val="0"/>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8-EDFB-47C3-960A-EFD71573C689}"/>
              </c:ext>
            </c:extLst>
          </c:dPt>
          <c:dPt>
            <c:idx val="1"/>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A-EDFB-47C3-960A-EFD71573C689}"/>
              </c:ext>
            </c:extLst>
          </c:dPt>
          <c:dLbls>
            <c:dLbl>
              <c:idx val="0"/>
              <c:spPr>
                <a:solidFill>
                  <a:schemeClr val="bg1"/>
                </a:solidFill>
              </c:spPr>
              <c:txPr>
                <a:bodyPr/>
                <a:lstStyle/>
                <a:p>
                  <a:pPr>
                    <a:defRPr sz="700"/>
                  </a:pPr>
                  <a:endParaRPr lang="ja-JP"/>
                </a:p>
              </c:txPr>
              <c:showLegendKey val="0"/>
              <c:showVal val="1"/>
              <c:showCatName val="0"/>
              <c:showSerName val="0"/>
              <c:showPercent val="0"/>
              <c:showBubbleSize val="0"/>
              <c:extLst>
                <c:ext xmlns:c16="http://schemas.microsoft.com/office/drawing/2014/chart" uri="{C3380CC4-5D6E-409C-BE32-E72D297353CC}">
                  <c16:uniqueId val="{00000008-EDFB-47C3-960A-EFD71573C689}"/>
                </c:ext>
              </c:extLst>
            </c:dLbl>
            <c:dLbl>
              <c:idx val="1"/>
              <c:spPr>
                <a:solidFill>
                  <a:schemeClr val="bg1"/>
                </a:solidFill>
              </c:spPr>
              <c:txPr>
                <a:bodyPr/>
                <a:lstStyle/>
                <a:p>
                  <a:pPr>
                    <a:defRPr sz="700"/>
                  </a:pPr>
                  <a:endParaRPr lang="ja-JP"/>
                </a:p>
              </c:txPr>
              <c:showLegendKey val="0"/>
              <c:showVal val="1"/>
              <c:showCatName val="0"/>
              <c:showSerName val="0"/>
              <c:showPercent val="0"/>
              <c:showBubbleSize val="0"/>
              <c:extLst>
                <c:ext xmlns:c16="http://schemas.microsoft.com/office/drawing/2014/chart" uri="{C3380CC4-5D6E-409C-BE32-E72D297353CC}">
                  <c16:uniqueId val="{0000000A-EDFB-47C3-960A-EFD71573C689}"/>
                </c:ext>
              </c:extLst>
            </c:dLbl>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子の居住地!$A$56:$A$57</c:f>
              <c:strCache>
                <c:ptCount val="2"/>
                <c:pt idx="0">
                  <c:v>秋田県</c:v>
                </c:pt>
                <c:pt idx="1">
                  <c:v>全国</c:v>
                </c:pt>
              </c:strCache>
            </c:strRef>
          </c:cat>
          <c:val>
            <c:numRef>
              <c:f>子の居住地!$F$56:$F$57</c:f>
              <c:numCache>
                <c:formatCode>General</c:formatCode>
                <c:ptCount val="2"/>
                <c:pt idx="0" formatCode="0.0">
                  <c:v>32.264957264957268</c:v>
                </c:pt>
                <c:pt idx="1">
                  <c:v>22.9</c:v>
                </c:pt>
              </c:numCache>
            </c:numRef>
          </c:val>
          <c:extLst>
            <c:ext xmlns:c16="http://schemas.microsoft.com/office/drawing/2014/chart" uri="{C3380CC4-5D6E-409C-BE32-E72D297353CC}">
              <c16:uniqueId val="{0000000B-EDFB-47C3-960A-EFD71573C689}"/>
            </c:ext>
          </c:extLst>
        </c:ser>
        <c:ser>
          <c:idx val="5"/>
          <c:order val="5"/>
          <c:tx>
            <c:strRef>
              <c:f>子の居住地!$G$55</c:f>
              <c:strCache>
                <c:ptCount val="1"/>
                <c:pt idx="0">
                  <c:v>子はいない</c:v>
                </c:pt>
              </c:strCache>
            </c:strRef>
          </c:tx>
          <c:spPr>
            <a:pattFill prst="ltUpDiag">
              <a:fgClr>
                <a:schemeClr val="accent5"/>
              </a:fgClr>
              <a:bgClr>
                <a:schemeClr val="bg1"/>
              </a:bgClr>
            </a:pattFill>
            <a:ln w="3175">
              <a:solidFill>
                <a:schemeClr val="tx1"/>
              </a:solidFill>
            </a:ln>
          </c:spPr>
          <c:invertIfNegative val="0"/>
          <c:dLbls>
            <c:spPr>
              <a:solidFill>
                <a:schemeClr val="bg1"/>
              </a:solidFill>
            </c:spPr>
            <c:txPr>
              <a:bodyPr rot="0"/>
              <a:lstStyle/>
              <a:p>
                <a:pPr algn="ctr" rtl="0">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子の居住地!$A$56:$A$57</c:f>
              <c:strCache>
                <c:ptCount val="2"/>
                <c:pt idx="0">
                  <c:v>秋田県</c:v>
                </c:pt>
                <c:pt idx="1">
                  <c:v>全国</c:v>
                </c:pt>
              </c:strCache>
            </c:strRef>
          </c:cat>
          <c:val>
            <c:numRef>
              <c:f>子の居住地!$G$56:$G$57</c:f>
              <c:numCache>
                <c:formatCode>General</c:formatCode>
                <c:ptCount val="2"/>
                <c:pt idx="0" formatCode="0.0">
                  <c:v>26.495726495726498</c:v>
                </c:pt>
                <c:pt idx="1">
                  <c:v>28.7</c:v>
                </c:pt>
              </c:numCache>
            </c:numRef>
          </c:val>
          <c:extLst>
            <c:ext xmlns:c16="http://schemas.microsoft.com/office/drawing/2014/chart" uri="{C3380CC4-5D6E-409C-BE32-E72D297353CC}">
              <c16:uniqueId val="{0000000C-EDFB-47C3-960A-EFD71573C689}"/>
            </c:ext>
          </c:extLst>
        </c:ser>
        <c:dLbls>
          <c:showLegendKey val="0"/>
          <c:showVal val="0"/>
          <c:showCatName val="0"/>
          <c:showSerName val="0"/>
          <c:showPercent val="0"/>
          <c:showBubbleSize val="0"/>
        </c:dLbls>
        <c:gapWidth val="50"/>
        <c:overlap val="100"/>
        <c:serLines>
          <c:spPr>
            <a:ln w="1905">
              <a:solidFill>
                <a:schemeClr val="tx1">
                  <a:shade val="95000"/>
                  <a:satMod val="105000"/>
                </a:schemeClr>
              </a:solidFill>
              <a:prstDash val="sysDot"/>
            </a:ln>
          </c:spPr>
        </c:serLines>
        <c:axId val="139736960"/>
        <c:axId val="139738496"/>
      </c:barChart>
      <c:catAx>
        <c:axId val="139736960"/>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700"/>
            </a:pPr>
            <a:endParaRPr lang="ja-JP"/>
          </a:p>
        </c:txPr>
        <c:crossAx val="139738496"/>
        <c:crosses val="autoZero"/>
        <c:auto val="1"/>
        <c:lblAlgn val="ctr"/>
        <c:lblOffset val="100"/>
        <c:noMultiLvlLbl val="0"/>
      </c:catAx>
      <c:valAx>
        <c:axId val="139738496"/>
        <c:scaling>
          <c:orientation val="minMax"/>
          <c:min val="0"/>
        </c:scaling>
        <c:delete val="0"/>
        <c:axPos val="b"/>
        <c:numFmt formatCode="0%" sourceLinked="1"/>
        <c:majorTickMark val="in"/>
        <c:minorTickMark val="none"/>
        <c:tickLblPos val="low"/>
        <c:spPr>
          <a:ln>
            <a:solidFill>
              <a:schemeClr val="tx1"/>
            </a:solidFill>
          </a:ln>
        </c:spPr>
        <c:txPr>
          <a:bodyPr/>
          <a:lstStyle/>
          <a:p>
            <a:pPr algn="ctr" rtl="0">
              <a:defRPr sz="800"/>
            </a:pPr>
            <a:endParaRPr lang="ja-JP"/>
          </a:p>
        </c:txPr>
        <c:crossAx val="139736960"/>
        <c:crosses val="autoZero"/>
        <c:crossBetween val="between"/>
        <c:majorUnit val="0.2"/>
        <c:minorUnit val="0.1"/>
      </c:valAx>
      <c:spPr>
        <a:ln w="3175">
          <a:solidFill>
            <a:schemeClr val="tx1"/>
          </a:solidFill>
        </a:ln>
      </c:spPr>
    </c:plotArea>
    <c:legend>
      <c:legendPos val="t"/>
      <c:layout>
        <c:manualLayout>
          <c:xMode val="edge"/>
          <c:yMode val="edge"/>
          <c:x val="5.0000096669727878E-2"/>
          <c:y val="9.1994249028192268E-2"/>
          <c:w val="0.93998148148148164"/>
          <c:h val="8.5032051282051282E-2"/>
        </c:manualLayout>
      </c:layout>
      <c:overlay val="0"/>
      <c:spPr>
        <a:ln w="3175">
          <a:solidFill>
            <a:schemeClr val="tx1"/>
          </a:solidFill>
        </a:ln>
      </c:spPr>
      <c:txPr>
        <a:bodyPr/>
        <a:lstStyle/>
        <a:p>
          <a:pPr algn="l" rtl="0">
            <a:defRPr sz="700"/>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extLst/>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図１４－４　子の居住地別高齢者のいる夫婦のみの世帯の割合</a:t>
            </a:r>
            <a:endParaRPr lang="en-US" sz="800"/>
          </a:p>
          <a:p>
            <a:pPr algn="ctr" rtl="0">
              <a:defRPr sz="800"/>
            </a:pPr>
            <a:r>
              <a:rPr lang="ja-JP" sz="800"/>
              <a:t>　　　　　　　　　　　　　　　　　　　　　　　－全国、秋田県（平成30年）</a:t>
            </a:r>
          </a:p>
        </c:rich>
      </c:tx>
      <c:layout>
        <c:manualLayout>
          <c:xMode val="edge"/>
          <c:yMode val="edge"/>
          <c:x val="0.14814326453671034"/>
          <c:y val="1.1719572983397656E-3"/>
        </c:manualLayout>
      </c:layout>
      <c:overlay val="0"/>
    </c:title>
    <c:autoTitleDeleted val="0"/>
    <c:plotArea>
      <c:layout>
        <c:manualLayout>
          <c:layoutTarget val="inner"/>
          <c:xMode val="edge"/>
          <c:yMode val="edge"/>
          <c:x val="9.7992592592592589E-2"/>
          <c:y val="0.27242463233506764"/>
          <c:w val="0.85908277777777775"/>
          <c:h val="0.6339353640777261"/>
        </c:manualLayout>
      </c:layout>
      <c:barChart>
        <c:barDir val="bar"/>
        <c:grouping val="percentStacked"/>
        <c:varyColors val="0"/>
        <c:ser>
          <c:idx val="0"/>
          <c:order val="0"/>
          <c:tx>
            <c:strRef>
              <c:f>子の居住地!$J$55</c:f>
              <c:strCache>
                <c:ptCount val="1"/>
                <c:pt idx="0">
                  <c:v>一緒に住んでいる</c:v>
                </c:pt>
              </c:strCache>
            </c:strRef>
          </c:tx>
          <c:spPr>
            <a:pattFill prst="solidDmnd">
              <a:fgClr>
                <a:schemeClr val="accent5"/>
              </a:fgClr>
              <a:bgClr>
                <a:schemeClr val="bg1"/>
              </a:bgClr>
            </a:pattFill>
            <a:ln w="3175">
              <a:solidFill>
                <a:schemeClr val="tx1">
                  <a:shade val="95000"/>
                  <a:satMod val="105000"/>
                </a:schemeClr>
              </a:solidFill>
            </a:ln>
          </c:spPr>
          <c:invertIfNegative val="0"/>
          <c:dLbls>
            <c:spPr>
              <a:solidFill>
                <a:schemeClr val="bg1"/>
              </a:solidFill>
            </c:spPr>
            <c:txPr>
              <a:bodyPr rot="0"/>
              <a:lstStyle/>
              <a:p>
                <a:pPr algn="ctr" rtl="0">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子の居住地!$I$56:$I$57</c:f>
              <c:strCache>
                <c:ptCount val="2"/>
                <c:pt idx="0">
                  <c:v>秋田県</c:v>
                </c:pt>
                <c:pt idx="1">
                  <c:v>全国</c:v>
                </c:pt>
              </c:strCache>
            </c:strRef>
          </c:cat>
          <c:val>
            <c:numRef>
              <c:f>子の居住地!$J$56:$J$57</c:f>
              <c:numCache>
                <c:formatCode>General</c:formatCode>
                <c:ptCount val="2"/>
                <c:pt idx="0" formatCode="0.0">
                  <c:v>2.5751072961373391</c:v>
                </c:pt>
                <c:pt idx="1">
                  <c:v>5.2</c:v>
                </c:pt>
              </c:numCache>
            </c:numRef>
          </c:val>
          <c:extLst>
            <c:ext xmlns:c16="http://schemas.microsoft.com/office/drawing/2014/chart" uri="{C3380CC4-5D6E-409C-BE32-E72D297353CC}">
              <c16:uniqueId val="{00000000-03CD-4781-93FD-3295F9FBBF86}"/>
            </c:ext>
          </c:extLst>
        </c:ser>
        <c:ser>
          <c:idx val="1"/>
          <c:order val="1"/>
          <c:tx>
            <c:strRef>
              <c:f>子の居住地!$K$55</c:f>
              <c:strCache>
                <c:ptCount val="1"/>
                <c:pt idx="0">
                  <c:v>徒歩5分程度</c:v>
                </c:pt>
              </c:strCache>
            </c:strRef>
          </c:tx>
          <c:spPr>
            <a:pattFill prst="smCheck">
              <a:fgClr>
                <a:schemeClr val="accent5"/>
              </a:fgClr>
              <a:bgClr>
                <a:schemeClr val="bg1"/>
              </a:bgClr>
            </a:pattFill>
            <a:ln w="3175">
              <a:solidFill>
                <a:schemeClr val="tx1">
                  <a:shade val="95000"/>
                  <a:satMod val="105000"/>
                </a:schemeClr>
              </a:solidFill>
            </a:ln>
          </c:spPr>
          <c:invertIfNegative val="0"/>
          <c:dPt>
            <c:idx val="0"/>
            <c:invertIfNegative val="0"/>
            <c:bubble3D val="0"/>
            <c:extLst>
              <c:ext xmlns:c16="http://schemas.microsoft.com/office/drawing/2014/chart" uri="{C3380CC4-5D6E-409C-BE32-E72D297353CC}">
                <c16:uniqueId val="{00000001-03CD-4781-93FD-3295F9FBBF86}"/>
              </c:ext>
            </c:extLst>
          </c:dPt>
          <c:dLbls>
            <c:dLbl>
              <c:idx val="0"/>
              <c:layout>
                <c:manualLayout>
                  <c:x val="2.673148148148148E-3"/>
                  <c:y val="0"/>
                </c:manualLayout>
              </c:layout>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03CD-4781-93FD-3295F9FBBF86}"/>
                </c:ext>
              </c:extLst>
            </c:dLbl>
            <c:dLbl>
              <c:idx val="1"/>
              <c:tx>
                <c:rich>
                  <a:bodyPr/>
                  <a:lstStyle/>
                  <a:p>
                    <a:r>
                      <a:rPr lang="en-US" altLang="en-US"/>
                      <a:t>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51C-40BB-B81B-B714B7615DA4}"/>
                </c:ext>
              </c:extLst>
            </c:dLbl>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子の居住地!$I$56:$I$57</c:f>
              <c:strCache>
                <c:ptCount val="2"/>
                <c:pt idx="0">
                  <c:v>秋田県</c:v>
                </c:pt>
                <c:pt idx="1">
                  <c:v>全国</c:v>
                </c:pt>
              </c:strCache>
            </c:strRef>
          </c:cat>
          <c:val>
            <c:numRef>
              <c:f>子の居住地!$K$56:$K$57</c:f>
              <c:numCache>
                <c:formatCode>General</c:formatCode>
                <c:ptCount val="2"/>
                <c:pt idx="0" formatCode="0.0">
                  <c:v>6.866952789699571</c:v>
                </c:pt>
                <c:pt idx="1">
                  <c:v>9</c:v>
                </c:pt>
              </c:numCache>
            </c:numRef>
          </c:val>
          <c:extLst>
            <c:ext xmlns:c16="http://schemas.microsoft.com/office/drawing/2014/chart" uri="{C3380CC4-5D6E-409C-BE32-E72D297353CC}">
              <c16:uniqueId val="{00000002-03CD-4781-93FD-3295F9FBBF86}"/>
            </c:ext>
          </c:extLst>
        </c:ser>
        <c:ser>
          <c:idx val="2"/>
          <c:order val="2"/>
          <c:tx>
            <c:strRef>
              <c:f>子の居住地!$L$55</c:f>
              <c:strCache>
                <c:ptCount val="1"/>
                <c:pt idx="0">
                  <c:v>片道15分未満</c:v>
                </c:pt>
              </c:strCache>
            </c:strRef>
          </c:tx>
          <c:spPr>
            <a:pattFill prst="openDmnd">
              <a:fgClr>
                <a:schemeClr val="accent5"/>
              </a:fgClr>
              <a:bgClr>
                <a:schemeClr val="bg1"/>
              </a:bgClr>
            </a:pattFill>
            <a:ln w="3175">
              <a:solidFill>
                <a:schemeClr val="tx1"/>
              </a:solidFill>
            </a:ln>
          </c:spPr>
          <c:invertIfNegative val="0"/>
          <c:dLbls>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子の居住地!$I$56:$I$57</c:f>
              <c:strCache>
                <c:ptCount val="2"/>
                <c:pt idx="0">
                  <c:v>秋田県</c:v>
                </c:pt>
                <c:pt idx="1">
                  <c:v>全国</c:v>
                </c:pt>
              </c:strCache>
            </c:strRef>
          </c:cat>
          <c:val>
            <c:numRef>
              <c:f>子の居住地!$L$56:$L$57</c:f>
              <c:numCache>
                <c:formatCode>General</c:formatCode>
                <c:ptCount val="2"/>
                <c:pt idx="0" formatCode="0.0">
                  <c:v>14.592274678111588</c:v>
                </c:pt>
                <c:pt idx="1">
                  <c:v>15.9</c:v>
                </c:pt>
              </c:numCache>
            </c:numRef>
          </c:val>
          <c:extLst>
            <c:ext xmlns:c16="http://schemas.microsoft.com/office/drawing/2014/chart" uri="{C3380CC4-5D6E-409C-BE32-E72D297353CC}">
              <c16:uniqueId val="{00000003-03CD-4781-93FD-3295F9FBBF86}"/>
            </c:ext>
          </c:extLst>
        </c:ser>
        <c:ser>
          <c:idx val="3"/>
          <c:order val="3"/>
          <c:tx>
            <c:strRef>
              <c:f>子の居住地!$M$55</c:f>
              <c:strCache>
                <c:ptCount val="1"/>
                <c:pt idx="0">
                  <c:v>片道1時間未満</c:v>
                </c:pt>
              </c:strCache>
            </c:strRef>
          </c:tx>
          <c:spPr>
            <a:pattFill prst="ltVert">
              <a:fgClr>
                <a:schemeClr val="accent5"/>
              </a:fgClr>
              <a:bgClr>
                <a:schemeClr val="bg1"/>
              </a:bgClr>
            </a:pattFill>
            <a:ln w="3175">
              <a:solidFill>
                <a:schemeClr val="tx1"/>
              </a:solidFill>
            </a:ln>
          </c:spPr>
          <c:invertIfNegative val="0"/>
          <c:dLbls>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子の居住地!$I$56:$I$57</c:f>
              <c:strCache>
                <c:ptCount val="2"/>
                <c:pt idx="0">
                  <c:v>秋田県</c:v>
                </c:pt>
                <c:pt idx="1">
                  <c:v>全国</c:v>
                </c:pt>
              </c:strCache>
            </c:strRef>
          </c:cat>
          <c:val>
            <c:numRef>
              <c:f>子の居住地!$M$56:$M$57</c:f>
              <c:numCache>
                <c:formatCode>General</c:formatCode>
                <c:ptCount val="2"/>
                <c:pt idx="0" formatCode="0.0">
                  <c:v>26.824034334763947</c:v>
                </c:pt>
                <c:pt idx="1">
                  <c:v>29.4</c:v>
                </c:pt>
              </c:numCache>
            </c:numRef>
          </c:val>
          <c:extLst>
            <c:ext xmlns:c16="http://schemas.microsoft.com/office/drawing/2014/chart" uri="{C3380CC4-5D6E-409C-BE32-E72D297353CC}">
              <c16:uniqueId val="{00000004-03CD-4781-93FD-3295F9FBBF86}"/>
            </c:ext>
          </c:extLst>
        </c:ser>
        <c:ser>
          <c:idx val="4"/>
          <c:order val="4"/>
          <c:tx>
            <c:strRef>
              <c:f>子の居住地!$N$55</c:f>
              <c:strCache>
                <c:ptCount val="1"/>
                <c:pt idx="0">
                  <c:v>片道1時間以上</c:v>
                </c:pt>
              </c:strCache>
            </c:strRef>
          </c:tx>
          <c:spPr>
            <a:pattFill prst="pct25">
              <a:fgClr>
                <a:schemeClr val="accent5"/>
              </a:fgClr>
              <a:bgClr>
                <a:schemeClr val="bg1"/>
              </a:bgClr>
            </a:pattFill>
          </c:spPr>
          <c:invertIfNegative val="0"/>
          <c:dPt>
            <c:idx val="0"/>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6-03CD-4781-93FD-3295F9FBBF86}"/>
              </c:ext>
            </c:extLst>
          </c:dPt>
          <c:dPt>
            <c:idx val="1"/>
            <c:invertIfNegative val="0"/>
            <c:bubble3D val="0"/>
            <c:spPr>
              <a:pattFill prst="pct25">
                <a:fgClr>
                  <a:schemeClr val="accent5"/>
                </a:fgClr>
                <a:bgClr>
                  <a:schemeClr val="bg1"/>
                </a:bgClr>
              </a:pattFill>
              <a:ln w="3175">
                <a:solidFill>
                  <a:schemeClr val="tx1"/>
                </a:solidFill>
              </a:ln>
            </c:spPr>
            <c:extLst>
              <c:ext xmlns:c16="http://schemas.microsoft.com/office/drawing/2014/chart" uri="{C3380CC4-5D6E-409C-BE32-E72D297353CC}">
                <c16:uniqueId val="{00000008-03CD-4781-93FD-3295F9FBBF86}"/>
              </c:ext>
            </c:extLst>
          </c:dPt>
          <c:dLbls>
            <c:dLbl>
              <c:idx val="0"/>
              <c:spPr>
                <a:solidFill>
                  <a:schemeClr val="bg1"/>
                </a:solidFill>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6-03CD-4781-93FD-3295F9FBBF86}"/>
                </c:ext>
              </c:extLst>
            </c:dLbl>
            <c:dLbl>
              <c:idx val="1"/>
              <c:spPr>
                <a:solidFill>
                  <a:schemeClr val="bg1"/>
                </a:solidFill>
              </c:spPr>
              <c:txPr>
                <a:bodyPr/>
                <a:lstStyle/>
                <a:p>
                  <a:pPr>
                    <a:defRPr/>
                  </a:pPr>
                  <a:endParaRPr lang="ja-JP"/>
                </a:p>
              </c:txPr>
              <c:showLegendKey val="0"/>
              <c:showVal val="1"/>
              <c:showCatName val="0"/>
              <c:showSerName val="0"/>
              <c:showPercent val="0"/>
              <c:showBubbleSize val="0"/>
              <c:extLst>
                <c:ext xmlns:c16="http://schemas.microsoft.com/office/drawing/2014/chart" uri="{C3380CC4-5D6E-409C-BE32-E72D297353CC}">
                  <c16:uniqueId val="{00000008-03CD-4781-93FD-3295F9FBBF86}"/>
                </c:ext>
              </c:extLst>
            </c:dLbl>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子の居住地!$I$56:$I$57</c:f>
              <c:strCache>
                <c:ptCount val="2"/>
                <c:pt idx="0">
                  <c:v>秋田県</c:v>
                </c:pt>
                <c:pt idx="1">
                  <c:v>全国</c:v>
                </c:pt>
              </c:strCache>
            </c:strRef>
          </c:cat>
          <c:val>
            <c:numRef>
              <c:f>子の居住地!$N$56:$N$57</c:f>
              <c:numCache>
                <c:formatCode>General</c:formatCode>
                <c:ptCount val="2"/>
                <c:pt idx="0" formatCode="0.0">
                  <c:v>38.197424892703864</c:v>
                </c:pt>
                <c:pt idx="1">
                  <c:v>28.5</c:v>
                </c:pt>
              </c:numCache>
            </c:numRef>
          </c:val>
          <c:extLst>
            <c:ext xmlns:c16="http://schemas.microsoft.com/office/drawing/2014/chart" uri="{C3380CC4-5D6E-409C-BE32-E72D297353CC}">
              <c16:uniqueId val="{00000009-03CD-4781-93FD-3295F9FBBF86}"/>
            </c:ext>
          </c:extLst>
        </c:ser>
        <c:ser>
          <c:idx val="5"/>
          <c:order val="5"/>
          <c:tx>
            <c:strRef>
              <c:f>子の居住地!$O$55</c:f>
              <c:strCache>
                <c:ptCount val="1"/>
                <c:pt idx="0">
                  <c:v>子はいない</c:v>
                </c:pt>
              </c:strCache>
            </c:strRef>
          </c:tx>
          <c:spPr>
            <a:pattFill prst="ltUpDiag">
              <a:fgClr>
                <a:schemeClr val="accent5"/>
              </a:fgClr>
              <a:bgClr>
                <a:schemeClr val="bg1"/>
              </a:bgClr>
            </a:pattFill>
            <a:ln w="3175">
              <a:solidFill>
                <a:schemeClr val="tx1"/>
              </a:solidFill>
            </a:ln>
          </c:spPr>
          <c:invertIfNegative val="0"/>
          <c:dLbls>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子の居住地!$I$56:$I$57</c:f>
              <c:strCache>
                <c:ptCount val="2"/>
                <c:pt idx="0">
                  <c:v>秋田県</c:v>
                </c:pt>
                <c:pt idx="1">
                  <c:v>全国</c:v>
                </c:pt>
              </c:strCache>
            </c:strRef>
          </c:cat>
          <c:val>
            <c:numRef>
              <c:f>子の居住地!$O$56:$O$57</c:f>
              <c:numCache>
                <c:formatCode>General</c:formatCode>
                <c:ptCount val="2"/>
                <c:pt idx="0" formatCode="0.0">
                  <c:v>10.944206008583691</c:v>
                </c:pt>
                <c:pt idx="1">
                  <c:v>11.9</c:v>
                </c:pt>
              </c:numCache>
            </c:numRef>
          </c:val>
          <c:extLst>
            <c:ext xmlns:c16="http://schemas.microsoft.com/office/drawing/2014/chart" uri="{C3380CC4-5D6E-409C-BE32-E72D297353CC}">
              <c16:uniqueId val="{0000000A-03CD-4781-93FD-3295F9FBBF86}"/>
            </c:ext>
          </c:extLst>
        </c:ser>
        <c:dLbls>
          <c:showLegendKey val="0"/>
          <c:showVal val="0"/>
          <c:showCatName val="0"/>
          <c:showSerName val="0"/>
          <c:showPercent val="0"/>
          <c:showBubbleSize val="0"/>
        </c:dLbls>
        <c:gapWidth val="50"/>
        <c:overlap val="100"/>
        <c:serLines>
          <c:spPr>
            <a:ln w="1905">
              <a:solidFill>
                <a:schemeClr val="tx1">
                  <a:shade val="95000"/>
                  <a:satMod val="105000"/>
                </a:schemeClr>
              </a:solidFill>
              <a:prstDash val="sysDot"/>
            </a:ln>
          </c:spPr>
        </c:serLines>
        <c:axId val="139834112"/>
        <c:axId val="139835648"/>
      </c:barChart>
      <c:catAx>
        <c:axId val="139834112"/>
        <c:scaling>
          <c:orientation val="minMax"/>
        </c:scaling>
        <c:delete val="0"/>
        <c:axPos val="l"/>
        <c:numFmt formatCode="General" sourceLinked="1"/>
        <c:majorTickMark val="in"/>
        <c:minorTickMark val="none"/>
        <c:tickLblPos val="nextTo"/>
        <c:spPr>
          <a:ln>
            <a:solidFill>
              <a:schemeClr val="tx1"/>
            </a:solidFill>
          </a:ln>
        </c:spPr>
        <c:txPr>
          <a:bodyPr/>
          <a:lstStyle/>
          <a:p>
            <a:pPr algn="ctr" rtl="0">
              <a:defRPr sz="700"/>
            </a:pPr>
            <a:endParaRPr lang="ja-JP"/>
          </a:p>
        </c:txPr>
        <c:crossAx val="139835648"/>
        <c:crosses val="autoZero"/>
        <c:auto val="1"/>
        <c:lblAlgn val="ctr"/>
        <c:lblOffset val="100"/>
        <c:noMultiLvlLbl val="0"/>
      </c:catAx>
      <c:valAx>
        <c:axId val="139835648"/>
        <c:scaling>
          <c:orientation val="minMax"/>
          <c:min val="0"/>
        </c:scaling>
        <c:delete val="0"/>
        <c:axPos val="b"/>
        <c:numFmt formatCode="0%" sourceLinked="1"/>
        <c:majorTickMark val="in"/>
        <c:minorTickMark val="none"/>
        <c:tickLblPos val="low"/>
        <c:spPr>
          <a:ln>
            <a:solidFill>
              <a:schemeClr val="tx1"/>
            </a:solidFill>
          </a:ln>
        </c:spPr>
        <c:txPr>
          <a:bodyPr/>
          <a:lstStyle/>
          <a:p>
            <a:pPr algn="ctr" rtl="0">
              <a:defRPr sz="800"/>
            </a:pPr>
            <a:endParaRPr lang="ja-JP"/>
          </a:p>
        </c:txPr>
        <c:crossAx val="139834112"/>
        <c:crosses val="autoZero"/>
        <c:crossBetween val="between"/>
        <c:majorUnit val="0.2"/>
        <c:minorUnit val="0.1"/>
      </c:valAx>
      <c:spPr>
        <a:ln w="3175">
          <a:solidFill>
            <a:schemeClr val="tx1"/>
          </a:solidFill>
        </a:ln>
      </c:spPr>
    </c:plotArea>
    <c:legend>
      <c:legendPos val="t"/>
      <c:layout>
        <c:manualLayout>
          <c:xMode val="edge"/>
          <c:yMode val="edge"/>
          <c:x val="5.4910918845763448E-2"/>
          <c:y val="0.14239443239251073"/>
          <c:w val="0.92822222222222206"/>
          <c:h val="8.5032051282051282E-2"/>
        </c:manualLayout>
      </c:layout>
      <c:overlay val="0"/>
      <c:spPr>
        <a:ln w="3175">
          <a:solidFill>
            <a:schemeClr val="tx1"/>
          </a:solidFill>
        </a:ln>
      </c:spPr>
      <c:txPr>
        <a:bodyPr/>
        <a:lstStyle/>
        <a:p>
          <a:pPr algn="l" rtl="0">
            <a:defRPr sz="700"/>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600">
          <a:solidFill>
            <a:schemeClr val="tx1"/>
          </a:solidFill>
          <a:latin typeface="+mj-ea"/>
          <a:ea typeface="+mj-ea"/>
        </a:defRPr>
      </a:pPr>
      <a:endParaRPr lang="ja-JP"/>
    </a:p>
  </c:txPr>
  <c:externalData r:id="rId1">
    <c:autoUpdate val="0"/>
  </c:externalData>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800" i="0" u="none" strike="noStrike" baseline="0">
                <a:solidFill>
                  <a:schemeClr val="tx1"/>
                </a:solidFill>
              </a:defRPr>
            </a:pPr>
            <a:r>
              <a:rPr lang="ja-JP" altLang="en-US" sz="800" b="1" i="0" u="none" strike="noStrike" baseline="0">
                <a:solidFill>
                  <a:schemeClr val="tx1"/>
                </a:solidFill>
                <a:latin typeface="+mj-ea"/>
                <a:ea typeface="+mj-ea"/>
              </a:rPr>
              <a:t>高齢者等のための設備がある住宅の割合</a:t>
            </a:r>
            <a:endParaRPr lang="en-US" altLang="en-US" sz="800" b="1" i="0" u="none" strike="noStrike" baseline="0">
              <a:solidFill>
                <a:schemeClr val="tx1"/>
              </a:solidFill>
              <a:latin typeface="+mj-ea"/>
              <a:ea typeface="+mj-ea"/>
            </a:endParaRPr>
          </a:p>
          <a:p>
            <a:pPr algn="ctr" rtl="0">
              <a:defRPr sz="800" i="0" u="none" strike="noStrike" baseline="0">
                <a:solidFill>
                  <a:schemeClr val="tx1"/>
                </a:solidFill>
              </a:defRPr>
            </a:pPr>
            <a:r>
              <a:rPr lang="ja-JP" altLang="en-US" sz="800" b="1" i="0" u="none" strike="noStrike" baseline="0">
                <a:solidFill>
                  <a:schemeClr val="tx1"/>
                </a:solidFill>
                <a:latin typeface="+mj-ea"/>
                <a:ea typeface="+mj-ea"/>
              </a:rPr>
              <a:t>－秋田県（平成</a:t>
            </a:r>
            <a:r>
              <a:rPr lang="en-US" altLang="ja-JP" sz="800" b="1" i="0" u="none" strike="noStrike" baseline="0">
                <a:solidFill>
                  <a:schemeClr val="tx1"/>
                </a:solidFill>
                <a:latin typeface="+mj-ea"/>
                <a:ea typeface="+mj-ea"/>
              </a:rPr>
              <a:t>25</a:t>
            </a:r>
            <a:r>
              <a:rPr lang="ja-JP" altLang="en-US" sz="800" b="1" i="0" u="none" strike="noStrike" baseline="0">
                <a:solidFill>
                  <a:schemeClr val="tx1"/>
                </a:solidFill>
                <a:latin typeface="+mj-ea"/>
                <a:ea typeface="+mj-ea"/>
              </a:rPr>
              <a:t>年、30年）</a:t>
            </a:r>
          </a:p>
        </c:rich>
      </c:tx>
      <c:layout>
        <c:manualLayout>
          <c:xMode val="edge"/>
          <c:yMode val="edge"/>
          <c:x val="0.17583552055993001"/>
          <c:y val="2.1514233797698366E-2"/>
        </c:manualLayout>
      </c:layout>
      <c:overlay val="0"/>
    </c:title>
    <c:autoTitleDeleted val="0"/>
    <c:plotArea>
      <c:layout>
        <c:manualLayout>
          <c:layoutTarget val="inner"/>
          <c:xMode val="edge"/>
          <c:yMode val="edge"/>
          <c:x val="0.18882256944444445"/>
          <c:y val="0.22470670456133812"/>
          <c:w val="0.7716774305555556"/>
          <c:h val="0.65680535495193282"/>
        </c:manualLayout>
      </c:layout>
      <c:barChart>
        <c:barDir val="bar"/>
        <c:grouping val="clustered"/>
        <c:varyColors val="0"/>
        <c:ser>
          <c:idx val="0"/>
          <c:order val="0"/>
          <c:tx>
            <c:strRef>
              <c:f>要約掲載図表!$A$58</c:f>
              <c:strCache>
                <c:ptCount val="1"/>
                <c:pt idx="0">
                  <c:v>平成30年</c:v>
                </c:pt>
              </c:strCache>
            </c:strRef>
          </c:tx>
          <c:spPr>
            <a:pattFill prst="pct20">
              <a:fgClr>
                <a:srgbClr val="4BACC6"/>
              </a:fgClr>
              <a:bgClr>
                <a:sysClr val="window" lastClr="FFFFFF"/>
              </a:bgClr>
            </a:pattFill>
            <a:ln w="3175">
              <a:solidFill>
                <a:srgbClr xmlns:mc="http://schemas.openxmlformats.org/markup-compatibility/2006" xmlns:a14="http://schemas.microsoft.com/office/drawing/2010/main" val="000000" mc:Ignorable="a14" a14:legacySpreadsheetColorIndex="64"/>
              </a:solidFill>
            </a:ln>
          </c:spPr>
          <c:invertIfNegative val="0"/>
          <c:dPt>
            <c:idx val="3"/>
            <c:invertIfNegative val="0"/>
            <c:bubble3D val="0"/>
            <c:extLst>
              <c:ext xmlns:c16="http://schemas.microsoft.com/office/drawing/2014/chart" uri="{C3380CC4-5D6E-409C-BE32-E72D297353CC}">
                <c16:uniqueId val="{00000000-00DF-4EED-A13A-46BF35A7E449}"/>
              </c:ext>
            </c:extLst>
          </c:dPt>
          <c:dLbls>
            <c:dLbl>
              <c:idx val="3"/>
              <c:layout>
                <c:manualLayout>
                  <c:x val="0"/>
                  <c:y val="1.0079365079365079E-2"/>
                </c:manualLayout>
              </c:layout>
              <c:spPr>
                <a:solidFill>
                  <a:schemeClr val="bg1"/>
                </a:solidFill>
              </c:spPr>
              <c:txPr>
                <a:bodyPr horzOverflow="overflow"/>
                <a:lstStyle/>
                <a:p>
                  <a:pPr>
                    <a:defRPr sz="6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DF-4EED-A13A-46BF35A7E449}"/>
                </c:ext>
              </c:extLst>
            </c:dLbl>
            <c:spPr>
              <a:solidFill>
                <a:schemeClr val="bg1"/>
              </a:solidFill>
            </c:spPr>
            <c:txPr>
              <a:bodyPr rot="0" horzOverflow="overflow" anchor="ctr" anchorCtr="1"/>
              <a:lstStyle/>
              <a:p>
                <a:pPr algn="ctr" rtl="0">
                  <a:defRPr sz="6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要約掲載図表!$B$57:$E$57</c:f>
              <c:strCache>
                <c:ptCount val="4"/>
                <c:pt idx="0">
                  <c:v>うち
段差のない屋内</c:v>
                </c:pt>
                <c:pt idx="1">
                  <c:v>うち
またぎやすい
高さの浴槽</c:v>
                </c:pt>
                <c:pt idx="2">
                  <c:v>うち
手すりがある</c:v>
                </c:pt>
                <c:pt idx="3">
                  <c:v>高齢者等の
設備がある</c:v>
                </c:pt>
              </c:strCache>
            </c:strRef>
          </c:cat>
          <c:val>
            <c:numRef>
              <c:f>要約掲載図表!$B$58:$E$58</c:f>
              <c:numCache>
                <c:formatCode>0.0</c:formatCode>
                <c:ptCount val="4"/>
                <c:pt idx="0">
                  <c:v>19.3</c:v>
                </c:pt>
                <c:pt idx="1">
                  <c:v>20.5</c:v>
                </c:pt>
                <c:pt idx="2">
                  <c:v>49.3</c:v>
                </c:pt>
                <c:pt idx="3">
                  <c:v>55.9</c:v>
                </c:pt>
              </c:numCache>
            </c:numRef>
          </c:val>
          <c:extLst>
            <c:ext xmlns:c16="http://schemas.microsoft.com/office/drawing/2014/chart" uri="{C3380CC4-5D6E-409C-BE32-E72D297353CC}">
              <c16:uniqueId val="{00000001-00DF-4EED-A13A-46BF35A7E449}"/>
            </c:ext>
          </c:extLst>
        </c:ser>
        <c:ser>
          <c:idx val="1"/>
          <c:order val="1"/>
          <c:tx>
            <c:strRef>
              <c:f>要約掲載図表!$A$59</c:f>
              <c:strCache>
                <c:ptCount val="1"/>
                <c:pt idx="0">
                  <c:v>平成25年</c:v>
                </c:pt>
              </c:strCache>
            </c:strRef>
          </c:tx>
          <c:spPr>
            <a:pattFill prst="ltUpDiag">
              <a:fgClr>
                <a:srgbClr val="4BACC6"/>
              </a:fgClr>
              <a:bgClr>
                <a:sysClr val="window" lastClr="FFFFFF"/>
              </a:bgClr>
            </a:pattFill>
            <a:ln w="3175">
              <a:solidFill>
                <a:srgbClr xmlns:mc="http://schemas.openxmlformats.org/markup-compatibility/2006" xmlns:a14="http://schemas.microsoft.com/office/drawing/2010/main" val="000000" mc:Ignorable="a14" a14:legacySpreadsheetColorIndex="64"/>
              </a:solidFill>
            </a:ln>
          </c:spPr>
          <c:invertIfNegative val="0"/>
          <c:dPt>
            <c:idx val="0"/>
            <c:invertIfNegative val="0"/>
            <c:bubble3D val="0"/>
            <c:extLst>
              <c:ext xmlns:c16="http://schemas.microsoft.com/office/drawing/2014/chart" uri="{C3380CC4-5D6E-409C-BE32-E72D297353CC}">
                <c16:uniqueId val="{00000002-00DF-4EED-A13A-46BF35A7E449}"/>
              </c:ext>
            </c:extLst>
          </c:dPt>
          <c:dPt>
            <c:idx val="1"/>
            <c:invertIfNegative val="0"/>
            <c:bubble3D val="0"/>
            <c:extLst>
              <c:ext xmlns:c16="http://schemas.microsoft.com/office/drawing/2014/chart" uri="{C3380CC4-5D6E-409C-BE32-E72D297353CC}">
                <c16:uniqueId val="{00000003-00DF-4EED-A13A-46BF35A7E449}"/>
              </c:ext>
            </c:extLst>
          </c:dPt>
          <c:dPt>
            <c:idx val="2"/>
            <c:invertIfNegative val="0"/>
            <c:bubble3D val="0"/>
            <c:extLst>
              <c:ext xmlns:c16="http://schemas.microsoft.com/office/drawing/2014/chart" uri="{C3380CC4-5D6E-409C-BE32-E72D297353CC}">
                <c16:uniqueId val="{00000004-00DF-4EED-A13A-46BF35A7E449}"/>
              </c:ext>
            </c:extLst>
          </c:dPt>
          <c:dPt>
            <c:idx val="3"/>
            <c:invertIfNegative val="0"/>
            <c:bubble3D val="0"/>
            <c:extLst>
              <c:ext xmlns:c16="http://schemas.microsoft.com/office/drawing/2014/chart" uri="{C3380CC4-5D6E-409C-BE32-E72D297353CC}">
                <c16:uniqueId val="{00000005-00DF-4EED-A13A-46BF35A7E449}"/>
              </c:ext>
            </c:extLst>
          </c:dPt>
          <c:dPt>
            <c:idx val="4"/>
            <c:invertIfNegative val="0"/>
            <c:bubble3D val="0"/>
            <c:extLst>
              <c:ext xmlns:c16="http://schemas.microsoft.com/office/drawing/2014/chart" uri="{C3380CC4-5D6E-409C-BE32-E72D297353CC}">
                <c16:uniqueId val="{00000006-00DF-4EED-A13A-46BF35A7E449}"/>
              </c:ext>
            </c:extLst>
          </c:dPt>
          <c:dLbls>
            <c:dLbl>
              <c:idx val="0"/>
              <c:layout>
                <c:manualLayout>
                  <c:x val="0"/>
                  <c:y val="-8.819444444444444E-3"/>
                </c:manualLayout>
              </c:layout>
              <c:spPr>
                <a:noFill/>
                <a:ln>
                  <a:noFill/>
                </a:ln>
                <a:effectLst/>
              </c:spPr>
              <c:txPr>
                <a:bodyPr horzOverflow="overflow"/>
                <a:lstStyle/>
                <a:p>
                  <a:pPr>
                    <a:defRPr sz="6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DF-4EED-A13A-46BF35A7E449}"/>
                </c:ext>
              </c:extLst>
            </c:dLbl>
            <c:dLbl>
              <c:idx val="1"/>
              <c:layout>
                <c:manualLayout>
                  <c:x val="0"/>
                  <c:y val="-8.819444444444444E-3"/>
                </c:manualLayout>
              </c:layout>
              <c:spPr>
                <a:noFill/>
                <a:ln>
                  <a:noFill/>
                </a:ln>
                <a:effectLst/>
              </c:spPr>
              <c:txPr>
                <a:bodyPr horzOverflow="overflow"/>
                <a:lstStyle/>
                <a:p>
                  <a:pPr>
                    <a:defRPr sz="6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DF-4EED-A13A-46BF35A7E449}"/>
                </c:ext>
              </c:extLst>
            </c:dLbl>
            <c:dLbl>
              <c:idx val="2"/>
              <c:layout>
                <c:manualLayout>
                  <c:x val="0"/>
                  <c:y val="-1.3229166666666667E-2"/>
                </c:manualLayout>
              </c:layout>
              <c:spPr>
                <a:noFill/>
                <a:ln>
                  <a:noFill/>
                </a:ln>
                <a:effectLst/>
              </c:spPr>
              <c:txPr>
                <a:bodyPr horzOverflow="overflow"/>
                <a:lstStyle/>
                <a:p>
                  <a:pPr>
                    <a:defRPr sz="6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DF-4EED-A13A-46BF35A7E449}"/>
                </c:ext>
              </c:extLst>
            </c:dLbl>
            <c:dLbl>
              <c:idx val="3"/>
              <c:layout>
                <c:manualLayout>
                  <c:x val="0"/>
                  <c:y val="-4.409722222222222E-3"/>
                </c:manualLayout>
              </c:layout>
              <c:spPr>
                <a:solidFill>
                  <a:sysClr val="window" lastClr="FFFFFF"/>
                </a:solidFill>
              </c:spPr>
              <c:txPr>
                <a:bodyPr horzOverflow="overflow"/>
                <a:lstStyle/>
                <a:p>
                  <a:pPr>
                    <a:defRPr sz="6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DF-4EED-A13A-46BF35A7E449}"/>
                </c:ext>
              </c:extLst>
            </c:dLbl>
            <c:dLbl>
              <c:idx val="4"/>
              <c:layout>
                <c:manualLayout>
                  <c:x val="0"/>
                  <c:y val="-1.889920634920635E-2"/>
                </c:manualLayout>
              </c:layout>
              <c:spPr>
                <a:solidFill>
                  <a:schemeClr val="bg1"/>
                </a:solidFill>
              </c:spPr>
              <c:txPr>
                <a:bodyPr horzOverflow="overflow"/>
                <a:lstStyle/>
                <a:p>
                  <a:pPr>
                    <a:defRPr sz="6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DF-4EED-A13A-46BF35A7E449}"/>
                </c:ext>
              </c:extLst>
            </c:dLbl>
            <c:spPr>
              <a:noFill/>
              <a:ln>
                <a:noFill/>
              </a:ln>
              <a:effectLst/>
            </c:spPr>
            <c:txPr>
              <a:bodyPr rot="0" horzOverflow="overflow" anchor="ctr" anchorCtr="1"/>
              <a:lstStyle/>
              <a:p>
                <a:pPr algn="ctr" rtl="0">
                  <a:defRPr sz="6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要約掲載図表!$B$57:$E$57</c:f>
              <c:strCache>
                <c:ptCount val="4"/>
                <c:pt idx="0">
                  <c:v>うち
段差のない屋内</c:v>
                </c:pt>
                <c:pt idx="1">
                  <c:v>うち
またぎやすい
高さの浴槽</c:v>
                </c:pt>
                <c:pt idx="2">
                  <c:v>うち
手すりがある</c:v>
                </c:pt>
                <c:pt idx="3">
                  <c:v>高齢者等の
設備がある</c:v>
                </c:pt>
              </c:strCache>
            </c:strRef>
          </c:cat>
          <c:val>
            <c:numRef>
              <c:f>要約掲載図表!$B$59:$E$59</c:f>
              <c:numCache>
                <c:formatCode>0.0</c:formatCode>
                <c:ptCount val="4"/>
                <c:pt idx="0">
                  <c:v>19.897172236503856</c:v>
                </c:pt>
                <c:pt idx="1">
                  <c:v>23.264781491002569</c:v>
                </c:pt>
                <c:pt idx="2">
                  <c:v>46.940874035989715</c:v>
                </c:pt>
                <c:pt idx="3">
                  <c:v>56.4</c:v>
                </c:pt>
              </c:numCache>
            </c:numRef>
          </c:val>
          <c:extLst>
            <c:ext xmlns:c16="http://schemas.microsoft.com/office/drawing/2014/chart" uri="{C3380CC4-5D6E-409C-BE32-E72D297353CC}">
              <c16:uniqueId val="{00000007-00DF-4EED-A13A-46BF35A7E449}"/>
            </c:ext>
          </c:extLst>
        </c:ser>
        <c:dLbls>
          <c:showLegendKey val="0"/>
          <c:showVal val="0"/>
          <c:showCatName val="0"/>
          <c:showSerName val="0"/>
          <c:showPercent val="0"/>
          <c:showBubbleSize val="0"/>
        </c:dLbls>
        <c:gapWidth val="80"/>
        <c:axId val="1"/>
        <c:axId val="2"/>
      </c:barChart>
      <c:catAx>
        <c:axId val="1"/>
        <c:scaling>
          <c:orientation val="minMax"/>
        </c:scaling>
        <c:delete val="0"/>
        <c:axPos val="l"/>
        <c:numFmt formatCode="General" sourceLinked="1"/>
        <c:majorTickMark val="in"/>
        <c:minorTickMark val="none"/>
        <c:tickLblPos val="nextTo"/>
        <c:txPr>
          <a:bodyPr horzOverflow="overflow" anchor="ctr" anchorCtr="1"/>
          <a:lstStyle/>
          <a:p>
            <a:pPr algn="ctr" rtl="0">
              <a:defRPr sz="500">
                <a:solidFill>
                  <a:schemeClr val="tx1"/>
                </a:solidFill>
              </a:defRPr>
            </a:pPr>
            <a:endParaRPr lang="ja-JP"/>
          </a:p>
        </c:txPr>
        <c:crossAx val="2"/>
        <c:crosses val="autoZero"/>
        <c:auto val="1"/>
        <c:lblAlgn val="ctr"/>
        <c:lblOffset val="100"/>
        <c:noMultiLvlLbl val="0"/>
      </c:catAx>
      <c:valAx>
        <c:axId val="2"/>
        <c:scaling>
          <c:orientation val="minMax"/>
        </c:scaling>
        <c:delete val="0"/>
        <c:axPos val="b"/>
        <c:majorGridlines>
          <c:spPr>
            <a:ln w="6350">
              <a:prstDash val="sysDash"/>
            </a:ln>
          </c:spPr>
        </c:majorGridlines>
        <c:numFmt formatCode="General\%" sourceLinked="0"/>
        <c:majorTickMark val="in"/>
        <c:minorTickMark val="in"/>
        <c:tickLblPos val="nextTo"/>
        <c:spPr>
          <a:ln>
            <a:solidFill>
              <a:sysClr val="windowText" lastClr="000000"/>
            </a:solidFill>
          </a:ln>
        </c:spPr>
        <c:txPr>
          <a:bodyPr horzOverflow="overflow" anchor="ctr" anchorCtr="1"/>
          <a:lstStyle/>
          <a:p>
            <a:pPr algn="ctr" rtl="0">
              <a:defRPr sz="600">
                <a:solidFill>
                  <a:schemeClr val="tx1"/>
                </a:solidFill>
              </a:defRPr>
            </a:pPr>
            <a:endParaRPr lang="ja-JP"/>
          </a:p>
        </c:txPr>
        <c:crossAx val="1"/>
        <c:crosses val="autoZero"/>
        <c:crossBetween val="between"/>
        <c:majorUnit val="20"/>
        <c:minorUnit val="10"/>
      </c:valAx>
      <c:spPr>
        <a:ln>
          <a:solidFill>
            <a:sysClr val="windowText" lastClr="000000"/>
          </a:solidFill>
        </a:ln>
      </c:spPr>
    </c:plotArea>
    <c:legend>
      <c:legendPos val="t"/>
      <c:layout>
        <c:manualLayout>
          <c:xMode val="edge"/>
          <c:yMode val="edge"/>
          <c:x val="0.7218819456078629"/>
          <c:y val="0.70072527916258986"/>
          <c:w val="0.2076017361111111"/>
          <c:h val="0.12431547619047618"/>
        </c:manualLayout>
      </c:layout>
      <c:overlay val="0"/>
      <c:spPr>
        <a:solidFill>
          <a:srgbClr xmlns:mc="http://schemas.openxmlformats.org/markup-compatibility/2006" xmlns:a14="http://schemas.microsoft.com/office/drawing/2010/main" val="FFFFFF" mc:Ignorable="a14" a14:legacySpreadsheetColorIndex="9"/>
        </a:solidFill>
        <a:ln w="3175">
          <a:solidFill>
            <a:schemeClr val="tx1"/>
          </a:solidFill>
        </a:ln>
      </c:spPr>
      <c:txPr>
        <a:bodyPr horzOverflow="overflow" anchor="ctr" anchorCtr="1"/>
        <a:lstStyle/>
        <a:p>
          <a:pPr algn="l" rtl="0">
            <a:defRPr sz="600">
              <a:solidFill>
                <a:schemeClr val="tx1"/>
              </a:solidFill>
            </a:defRPr>
          </a:pPr>
          <a:endParaRPr lang="ja-JP"/>
        </a:p>
      </c:txPr>
    </c:legend>
    <c:plotVisOnly val="1"/>
    <c:dispBlanksAs val="gap"/>
    <c:showDLblsOverMax val="0"/>
  </c:chart>
  <c:spPr>
    <a:ln>
      <a:solidFill>
        <a:sysClr val="windowText" lastClr="000000"/>
      </a:solidFill>
    </a:ln>
  </c:spPr>
  <c:txPr>
    <a:bodyPr horzOverflow="overflow" anchor="ctr" anchorCtr="1"/>
    <a:lstStyle/>
    <a:p>
      <a:pPr algn="ctr" rtl="0">
        <a:defRPr lang="ja-JP" altLang="en-US" sz="1000">
          <a:solidFill>
            <a:schemeClr val="tx1"/>
          </a:solidFill>
          <a:latin typeface="+mj-ea"/>
          <a:ea typeface="+mj-ea"/>
        </a:defRPr>
      </a:pPr>
      <a:endParaRPr lang="ja-JP"/>
    </a:p>
  </c:txPr>
  <c:externalData r:id="rId2">
    <c:autoUpdate val="0"/>
  </c:externalData>
  <c:extLst/>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a:pPr>
            <a:r>
              <a:rPr lang="ja-JP"/>
              <a:t>図１</a:t>
            </a:r>
            <a:r>
              <a:rPr lang="ja-JP" altLang="en-US"/>
              <a:t>５</a:t>
            </a:r>
            <a:r>
              <a:rPr lang="ja-JP"/>
              <a:t>－２　土地の所有率－秋田県（平成</a:t>
            </a:r>
            <a:r>
              <a:rPr lang="en-US"/>
              <a:t>25</a:t>
            </a:r>
            <a:r>
              <a:rPr lang="ja-JP"/>
              <a:t>年、</a:t>
            </a:r>
            <a:r>
              <a:rPr lang="en-US"/>
              <a:t>30</a:t>
            </a:r>
            <a:r>
              <a:rPr lang="ja-JP"/>
              <a:t>年）</a:t>
            </a:r>
          </a:p>
        </c:rich>
      </c:tx>
      <c:layout>
        <c:manualLayout>
          <c:xMode val="edge"/>
          <c:yMode val="edge"/>
          <c:x val="0.14565771417369142"/>
          <c:y val="2.9394473838918283E-2"/>
        </c:manualLayout>
      </c:layout>
      <c:overlay val="0"/>
    </c:title>
    <c:autoTitleDeleted val="0"/>
    <c:plotArea>
      <c:layout>
        <c:manualLayout>
          <c:layoutTarget val="inner"/>
          <c:xMode val="edge"/>
          <c:yMode val="edge"/>
          <c:x val="9.9151666666666666E-2"/>
          <c:y val="0.1909703703703704"/>
          <c:w val="0.86204277777777771"/>
          <c:h val="0.67393518518518514"/>
        </c:manualLayout>
      </c:layout>
      <c:barChart>
        <c:barDir val="col"/>
        <c:grouping val="clustered"/>
        <c:varyColors val="0"/>
        <c:ser>
          <c:idx val="0"/>
          <c:order val="0"/>
          <c:tx>
            <c:strRef>
              <c:f>住宅・土地の所有状況!$G$24</c:f>
              <c:strCache>
                <c:ptCount val="1"/>
                <c:pt idx="0">
                  <c:v>平成20年</c:v>
                </c:pt>
              </c:strCache>
            </c:strRef>
          </c:tx>
          <c:spPr>
            <a:pattFill prst="pct20">
              <a:fgClr>
                <a:schemeClr val="accent5"/>
              </a:fgClr>
              <a:bgClr>
                <a:schemeClr val="bg1"/>
              </a:bgClr>
            </a:pattFill>
            <a:ln w="3175">
              <a:solidFill>
                <a:schemeClr val="tx1"/>
              </a:solidFill>
            </a:ln>
          </c:spPr>
          <c:invertIfNegative val="0"/>
          <c:dPt>
            <c:idx val="1"/>
            <c:invertIfNegative val="0"/>
            <c:bubble3D val="0"/>
            <c:extLst>
              <c:ext xmlns:c16="http://schemas.microsoft.com/office/drawing/2014/chart" uri="{C3380CC4-5D6E-409C-BE32-E72D297353CC}">
                <c16:uniqueId val="{00000000-E8A0-4460-8F3A-B0D91060C542}"/>
              </c:ext>
            </c:extLst>
          </c:dPt>
          <c:dLbls>
            <c:dLbl>
              <c:idx val="1"/>
              <c:layout>
                <c:manualLayout>
                  <c:x val="-7.0555555555555554E-3"/>
                  <c:y val="-9.3722222222222228E-3"/>
                </c:manualLayout>
              </c:layout>
              <c:spPr>
                <a:solidFill>
                  <a:schemeClr val="bg1"/>
                </a:solidFill>
              </c:spPr>
              <c:txPr>
                <a:bodyPr/>
                <a:lstStyle/>
                <a:p>
                  <a:pPr>
                    <a:defRPr/>
                  </a:pPr>
                  <a:endParaRPr lang="ja-JP"/>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E8A0-4460-8F3A-B0D91060C542}"/>
                </c:ext>
              </c:extLst>
            </c:dLbl>
            <c:spPr>
              <a:solidFill>
                <a:schemeClr val="bg1"/>
              </a:solidFill>
            </c:spPr>
            <c:txPr>
              <a:bodyPr rot="0"/>
              <a:lstStyle/>
              <a:p>
                <a:pPr algn="ctr" rtl="0">
                  <a:defRPr/>
                </a:pPr>
                <a:endParaRPr lang="ja-JP"/>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住宅・土地の所有状況!$H$22:$I$22</c:f>
              <c:strCache>
                <c:ptCount val="2"/>
                <c:pt idx="0">
                  <c:v>土地を所有</c:v>
                </c:pt>
                <c:pt idx="1">
                  <c:v>現住居の敷地以外の土地を所有</c:v>
                </c:pt>
              </c:strCache>
            </c:strRef>
          </c:cat>
          <c:val>
            <c:numRef>
              <c:f>住宅・土地の所有状況!$H$24:$I$24</c:f>
              <c:numCache>
                <c:formatCode>General</c:formatCode>
                <c:ptCount val="2"/>
                <c:pt idx="0" formatCode="0.0">
                  <c:v>71</c:v>
                </c:pt>
                <c:pt idx="1">
                  <c:v>30.8</c:v>
                </c:pt>
              </c:numCache>
            </c:numRef>
          </c:val>
          <c:extLst>
            <c:ext xmlns:c16="http://schemas.microsoft.com/office/drawing/2014/chart" uri="{C3380CC4-5D6E-409C-BE32-E72D297353CC}">
              <c16:uniqueId val="{00000001-E8A0-4460-8F3A-B0D91060C542}"/>
            </c:ext>
          </c:extLst>
        </c:ser>
        <c:ser>
          <c:idx val="1"/>
          <c:order val="1"/>
          <c:tx>
            <c:strRef>
              <c:f>住宅・土地の所有状況!$G$25</c:f>
              <c:strCache>
                <c:ptCount val="1"/>
                <c:pt idx="0">
                  <c:v>平成25年</c:v>
                </c:pt>
              </c:strCache>
            </c:strRef>
          </c:tx>
          <c:spPr>
            <a:pattFill prst="ltUpDiag">
              <a:fgClr>
                <a:schemeClr val="accent5"/>
              </a:fgClr>
              <a:bgClr>
                <a:schemeClr val="bg1"/>
              </a:bgClr>
            </a:pattFill>
            <a:ln w="3175">
              <a:solidFill>
                <a:schemeClr val="tx1"/>
              </a:solidFill>
            </a:ln>
          </c:spPr>
          <c:invertIfNegative val="0"/>
          <c:dPt>
            <c:idx val="1"/>
            <c:invertIfNegative val="0"/>
            <c:bubble3D val="0"/>
            <c:extLst>
              <c:ext xmlns:c16="http://schemas.microsoft.com/office/drawing/2014/chart" uri="{C3380CC4-5D6E-409C-BE32-E72D297353CC}">
                <c16:uniqueId val="{00000002-E8A0-4460-8F3A-B0D91060C542}"/>
              </c:ext>
            </c:extLst>
          </c:dPt>
          <c:dLbls>
            <c:dLbl>
              <c:idx val="1"/>
              <c:layout>
                <c:manualLayout>
                  <c:x val="0"/>
                  <c:y val="-1.012037037037037E-3"/>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E8A0-4460-8F3A-B0D91060C542}"/>
                </c:ext>
              </c:extLst>
            </c:dLbl>
            <c:numFmt formatCode="#,##0.0_);[Red]\(#,##0.0\)" sourceLinked="0"/>
            <c:spPr>
              <a:solidFill>
                <a:schemeClr val="bg1"/>
              </a:solidFill>
            </c:spPr>
            <c:txPr>
              <a:bodyPr rot="0"/>
              <a:lstStyle/>
              <a:p>
                <a:pPr algn="ctr" rtl="0">
                  <a:defRPr/>
                </a:pPr>
                <a:endParaRPr lang="ja-JP"/>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住宅・土地の所有状況!$H$22:$I$22</c:f>
              <c:strCache>
                <c:ptCount val="2"/>
                <c:pt idx="0">
                  <c:v>土地を所有</c:v>
                </c:pt>
                <c:pt idx="1">
                  <c:v>現住居の敷地以外の土地を所有</c:v>
                </c:pt>
              </c:strCache>
            </c:strRef>
          </c:cat>
          <c:val>
            <c:numRef>
              <c:f>住宅・土地の所有状況!$H$25:$I$25</c:f>
              <c:numCache>
                <c:formatCode>General</c:formatCode>
                <c:ptCount val="2"/>
                <c:pt idx="0" formatCode="0.0">
                  <c:v>71.099999999999994</c:v>
                </c:pt>
                <c:pt idx="1">
                  <c:v>26.6</c:v>
                </c:pt>
              </c:numCache>
            </c:numRef>
          </c:val>
          <c:extLst>
            <c:ext xmlns:c16="http://schemas.microsoft.com/office/drawing/2014/chart" uri="{C3380CC4-5D6E-409C-BE32-E72D297353CC}">
              <c16:uniqueId val="{00000003-E8A0-4460-8F3A-B0D91060C542}"/>
            </c:ext>
          </c:extLst>
        </c:ser>
        <c:ser>
          <c:idx val="2"/>
          <c:order val="2"/>
          <c:tx>
            <c:strRef>
              <c:f>住宅・土地の所有状況!$G$26</c:f>
              <c:strCache>
                <c:ptCount val="1"/>
                <c:pt idx="0">
                  <c:v>平成30年</c:v>
                </c:pt>
              </c:strCache>
            </c:strRef>
          </c:tx>
          <c:spPr>
            <a:pattFill prst="pct30">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4-E8A0-4460-8F3A-B0D91060C542}"/>
              </c:ext>
            </c:extLst>
          </c:dPt>
          <c:dLbls>
            <c:dLbl>
              <c:idx val="0"/>
              <c:spPr>
                <a:solidFill>
                  <a:schemeClr val="bg1"/>
                </a:solidFill>
              </c:spPr>
              <c:txPr>
                <a:bodyPr/>
                <a:lstStyle/>
                <a:p>
                  <a:pPr>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A0-4460-8F3A-B0D91060C542}"/>
                </c:ext>
              </c:extLst>
            </c:dLbl>
            <c:spPr>
              <a:solidFill>
                <a:schemeClr val="bg1"/>
              </a:solid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住宅・土地の所有状況!$H$22:$I$22</c:f>
              <c:strCache>
                <c:ptCount val="2"/>
                <c:pt idx="0">
                  <c:v>土地を所有</c:v>
                </c:pt>
                <c:pt idx="1">
                  <c:v>現住居の敷地以外の土地を所有</c:v>
                </c:pt>
              </c:strCache>
            </c:strRef>
          </c:cat>
          <c:val>
            <c:numRef>
              <c:f>住宅・土地の所有状況!$H$26:$I$26</c:f>
              <c:numCache>
                <c:formatCode>General</c:formatCode>
                <c:ptCount val="2"/>
                <c:pt idx="0" formatCode="0.0">
                  <c:v>70.3</c:v>
                </c:pt>
                <c:pt idx="1">
                  <c:v>27.1</c:v>
                </c:pt>
              </c:numCache>
            </c:numRef>
          </c:val>
          <c:extLst>
            <c:ext xmlns:c16="http://schemas.microsoft.com/office/drawing/2014/chart" uri="{C3380CC4-5D6E-409C-BE32-E72D297353CC}">
              <c16:uniqueId val="{00000005-E8A0-4460-8F3A-B0D91060C542}"/>
            </c:ext>
          </c:extLst>
        </c:ser>
        <c:dLbls>
          <c:showLegendKey val="0"/>
          <c:showVal val="0"/>
          <c:showCatName val="0"/>
          <c:showSerName val="0"/>
          <c:showPercent val="0"/>
          <c:showBubbleSize val="0"/>
        </c:dLbls>
        <c:gapWidth val="200"/>
        <c:axId val="139881088"/>
        <c:axId val="139891072"/>
      </c:barChart>
      <c:catAx>
        <c:axId val="139881088"/>
        <c:scaling>
          <c:orientation val="minMax"/>
        </c:scaling>
        <c:delete val="0"/>
        <c:axPos val="b"/>
        <c:numFmt formatCode="General" sourceLinked="1"/>
        <c:majorTickMark val="in"/>
        <c:minorTickMark val="none"/>
        <c:tickLblPos val="nextTo"/>
        <c:spPr>
          <a:ln>
            <a:solidFill>
              <a:schemeClr val="tx1"/>
            </a:solidFill>
          </a:ln>
        </c:spPr>
        <c:txPr>
          <a:bodyPr/>
          <a:lstStyle/>
          <a:p>
            <a:pPr algn="ctr" rtl="0">
              <a:defRPr/>
            </a:pPr>
            <a:endParaRPr lang="ja-JP"/>
          </a:p>
        </c:txPr>
        <c:crossAx val="139891072"/>
        <c:crosses val="autoZero"/>
        <c:auto val="1"/>
        <c:lblAlgn val="ctr"/>
        <c:lblOffset val="100"/>
        <c:noMultiLvlLbl val="0"/>
      </c:catAx>
      <c:valAx>
        <c:axId val="139891072"/>
        <c:scaling>
          <c:orientation val="minMax"/>
        </c:scaling>
        <c:delete val="0"/>
        <c:axPos val="l"/>
        <c:majorGridlines>
          <c:spPr>
            <a:ln>
              <a:prstDash val="sysDash"/>
            </a:ln>
          </c:spPr>
        </c:majorGridlines>
        <c:numFmt formatCode="#,##0_);[Red]\(#,##0\)" sourceLinked="0"/>
        <c:majorTickMark val="in"/>
        <c:minorTickMark val="none"/>
        <c:tickLblPos val="nextTo"/>
        <c:spPr>
          <a:ln>
            <a:solidFill>
              <a:schemeClr val="tx1"/>
            </a:solidFill>
          </a:ln>
        </c:spPr>
        <c:txPr>
          <a:bodyPr/>
          <a:lstStyle/>
          <a:p>
            <a:pPr algn="ctr" rtl="0">
              <a:defRPr/>
            </a:pPr>
            <a:endParaRPr lang="ja-JP"/>
          </a:p>
        </c:txPr>
        <c:crossAx val="139881088"/>
        <c:crosses val="autoZero"/>
        <c:crossBetween val="between"/>
        <c:majorUnit val="20"/>
      </c:valAx>
      <c:spPr>
        <a:ln>
          <a:solidFill>
            <a:schemeClr val="tx1"/>
          </a:solidFill>
        </a:ln>
      </c:spPr>
    </c:plotArea>
    <c:legend>
      <c:legendPos val="r"/>
      <c:layout>
        <c:manualLayout>
          <c:xMode val="edge"/>
          <c:yMode val="edge"/>
          <c:x val="0.74008641975308642"/>
          <c:y val="0.20056620370370373"/>
          <c:w val="0.21248456790123457"/>
          <c:h val="0.1842361111111111"/>
        </c:manualLayout>
      </c:layout>
      <c:overlay val="1"/>
      <c:spPr>
        <a:solidFill>
          <a:schemeClr val="bg1"/>
        </a:solidFill>
        <a:ln w="3175">
          <a:solidFill>
            <a:schemeClr val="tx1"/>
          </a:solidFill>
        </a:ln>
      </c:spPr>
      <c:txPr>
        <a:bodyPr/>
        <a:lstStyle/>
        <a:p>
          <a:pPr algn="l" rtl="0">
            <a:defRPr/>
          </a:pPr>
          <a:endParaRPr lang="ja-JP"/>
        </a:p>
      </c:txPr>
    </c:legend>
    <c:plotVisOnly val="1"/>
    <c:dispBlanksAs val="gap"/>
    <c:showDLblsOverMax val="0"/>
  </c:chart>
  <c:txPr>
    <a:bodyPr horzOverflow="overflow" anchor="ctr" anchorCtr="1"/>
    <a:lstStyle/>
    <a:p>
      <a:pPr algn="ctr" rtl="0">
        <a:defRPr lang="ja-JP" altLang="en-US" sz="600">
          <a:solidFill>
            <a:schemeClr val="tx1"/>
          </a:solidFill>
          <a:latin typeface="+mj-ea"/>
          <a:ea typeface="+mj-ea"/>
        </a:defRPr>
      </a:pPr>
      <a:endParaRPr lang="ja-JP"/>
    </a:p>
  </c:txPr>
  <c:externalData r:id="rId1">
    <c:autoUpdate val="0"/>
  </c:externalData>
  <c:userShapes r:id="rId2"/>
  <c:extLst/>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a:pPr>
            <a:r>
              <a:rPr lang="ja-JP"/>
              <a:t>図１</a:t>
            </a:r>
            <a:r>
              <a:rPr lang="ja-JP" altLang="en-US"/>
              <a:t>５</a:t>
            </a:r>
            <a:r>
              <a:rPr lang="ja-JP"/>
              <a:t>－１　住宅の所有率－秋田県（平成</a:t>
            </a:r>
            <a:r>
              <a:rPr lang="en-US"/>
              <a:t>25</a:t>
            </a:r>
            <a:r>
              <a:rPr lang="ja-JP"/>
              <a:t>年、</a:t>
            </a:r>
            <a:r>
              <a:rPr lang="en-US"/>
              <a:t>30</a:t>
            </a:r>
            <a:r>
              <a:rPr lang="ja-JP"/>
              <a:t>年）</a:t>
            </a:r>
          </a:p>
        </c:rich>
      </c:tx>
      <c:overlay val="0"/>
    </c:title>
    <c:autoTitleDeleted val="0"/>
    <c:plotArea>
      <c:layout>
        <c:manualLayout>
          <c:layoutTarget val="inner"/>
          <c:xMode val="edge"/>
          <c:yMode val="edge"/>
          <c:x val="8.6355864197530871E-2"/>
          <c:y val="0.17874074074074073"/>
          <c:w val="0.87052685185185186"/>
          <c:h val="0.69204444444444446"/>
        </c:manualLayout>
      </c:layout>
      <c:barChart>
        <c:barDir val="col"/>
        <c:grouping val="clustered"/>
        <c:varyColors val="0"/>
        <c:ser>
          <c:idx val="0"/>
          <c:order val="0"/>
          <c:tx>
            <c:strRef>
              <c:f>住宅・土地の所有状況!$A$24</c:f>
              <c:strCache>
                <c:ptCount val="1"/>
                <c:pt idx="0">
                  <c:v>平成20年</c:v>
                </c:pt>
              </c:strCache>
            </c:strRef>
          </c:tx>
          <c:spPr>
            <a:pattFill prst="pct20">
              <a:fgClr>
                <a:schemeClr val="accent5"/>
              </a:fgClr>
              <a:bgClr>
                <a:schemeClr val="bg1"/>
              </a:bgClr>
            </a:pattFill>
            <a:ln w="3175">
              <a:solidFill>
                <a:schemeClr val="tx1"/>
              </a:solidFill>
            </a:ln>
          </c:spPr>
          <c:invertIfNegative val="0"/>
          <c:dPt>
            <c:idx val="1"/>
            <c:invertIfNegative val="0"/>
            <c:bubble3D val="0"/>
            <c:extLst>
              <c:ext xmlns:c16="http://schemas.microsoft.com/office/drawing/2014/chart" uri="{C3380CC4-5D6E-409C-BE32-E72D297353CC}">
                <c16:uniqueId val="{00000000-80D1-4699-9616-6D2C6231F852}"/>
              </c:ext>
            </c:extLst>
          </c:dPt>
          <c:dLbls>
            <c:dLbl>
              <c:idx val="1"/>
              <c:layout>
                <c:manualLayout>
                  <c:x val="-7.0555555555555554E-3"/>
                  <c:y val="-9.3722222222222228E-3"/>
                </c:manualLayout>
              </c:layout>
              <c:spPr>
                <a:solidFill>
                  <a:schemeClr val="bg1"/>
                </a:solidFill>
              </c:spPr>
              <c:txPr>
                <a:bodyPr/>
                <a:lstStyle/>
                <a:p>
                  <a:pPr>
                    <a:defRPr/>
                  </a:pPr>
                  <a:endParaRPr lang="ja-JP"/>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80D1-4699-9616-6D2C6231F852}"/>
                </c:ext>
              </c:extLst>
            </c:dLbl>
            <c:spPr>
              <a:solidFill>
                <a:schemeClr val="bg1"/>
              </a:solidFill>
            </c:spPr>
            <c:txPr>
              <a:bodyPr rot="0"/>
              <a:lstStyle/>
              <a:p>
                <a:pPr algn="ctr" rtl="0">
                  <a:defRPr/>
                </a:pPr>
                <a:endParaRPr lang="ja-JP"/>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住宅・土地の所有状況!$B$22:$C$22</c:f>
              <c:strCache>
                <c:ptCount val="2"/>
                <c:pt idx="0">
                  <c:v>住宅を所有</c:v>
                </c:pt>
                <c:pt idx="1">
                  <c:v>現住居以外の住宅を所有</c:v>
                </c:pt>
              </c:strCache>
            </c:strRef>
          </c:cat>
          <c:val>
            <c:numRef>
              <c:f>住宅・土地の所有状況!$B$24:$C$24</c:f>
              <c:numCache>
                <c:formatCode>General</c:formatCode>
                <c:ptCount val="2"/>
                <c:pt idx="0">
                  <c:v>72.5</c:v>
                </c:pt>
                <c:pt idx="1">
                  <c:v>7.2</c:v>
                </c:pt>
              </c:numCache>
            </c:numRef>
          </c:val>
          <c:extLst>
            <c:ext xmlns:c16="http://schemas.microsoft.com/office/drawing/2014/chart" uri="{C3380CC4-5D6E-409C-BE32-E72D297353CC}">
              <c16:uniqueId val="{00000001-80D1-4699-9616-6D2C6231F852}"/>
            </c:ext>
          </c:extLst>
        </c:ser>
        <c:ser>
          <c:idx val="1"/>
          <c:order val="1"/>
          <c:tx>
            <c:strRef>
              <c:f>住宅・土地の所有状況!$A$25</c:f>
              <c:strCache>
                <c:ptCount val="1"/>
                <c:pt idx="0">
                  <c:v>平成25年</c:v>
                </c:pt>
              </c:strCache>
            </c:strRef>
          </c:tx>
          <c:spPr>
            <a:pattFill prst="ltUpDiag">
              <a:fgClr>
                <a:schemeClr val="accent5"/>
              </a:fgClr>
              <a:bgClr>
                <a:schemeClr val="bg1"/>
              </a:bgClr>
            </a:pattFill>
            <a:ln w="3175">
              <a:solidFill>
                <a:schemeClr val="tx1"/>
              </a:solidFill>
            </a:ln>
          </c:spPr>
          <c:invertIfNegative val="0"/>
          <c:dPt>
            <c:idx val="1"/>
            <c:invertIfNegative val="0"/>
            <c:bubble3D val="0"/>
            <c:extLst>
              <c:ext xmlns:c16="http://schemas.microsoft.com/office/drawing/2014/chart" uri="{C3380CC4-5D6E-409C-BE32-E72D297353CC}">
                <c16:uniqueId val="{00000002-80D1-4699-9616-6D2C6231F852}"/>
              </c:ext>
            </c:extLst>
          </c:dPt>
          <c:dLbls>
            <c:dLbl>
              <c:idx val="1"/>
              <c:layout>
                <c:manualLayout>
                  <c:x val="0"/>
                  <c:y val="-1.012037037037037E-3"/>
                </c:manualLayout>
              </c:layout>
              <c:numFmt formatCode="#,##0.0_);[Red]\(#,##0.0\)" sourceLinked="0"/>
              <c:spPr>
                <a:solidFill>
                  <a:schemeClr val="bg1"/>
                </a:solidFill>
              </c:spPr>
              <c:txPr>
                <a:bodyPr/>
                <a:lstStyle/>
                <a:p>
                  <a:pPr>
                    <a:defRPr/>
                  </a:pPr>
                  <a:endParaRPr lang="ja-JP"/>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80D1-4699-9616-6D2C6231F852}"/>
                </c:ext>
              </c:extLst>
            </c:dLbl>
            <c:numFmt formatCode="#,##0.0_);[Red]\(#,##0.0\)" sourceLinked="0"/>
            <c:spPr>
              <a:solidFill>
                <a:schemeClr val="bg1"/>
              </a:solidFill>
            </c:spPr>
            <c:txPr>
              <a:bodyPr rot="0"/>
              <a:lstStyle/>
              <a:p>
                <a:pPr algn="ctr" rtl="0">
                  <a:defRPr/>
                </a:pPr>
                <a:endParaRPr lang="ja-JP"/>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住宅・土地の所有状況!$B$22:$C$22</c:f>
              <c:strCache>
                <c:ptCount val="2"/>
                <c:pt idx="0">
                  <c:v>住宅を所有</c:v>
                </c:pt>
                <c:pt idx="1">
                  <c:v>現住居以外の住宅を所有</c:v>
                </c:pt>
              </c:strCache>
            </c:strRef>
          </c:cat>
          <c:val>
            <c:numRef>
              <c:f>住宅・土地の所有状況!$B$25:$C$25</c:f>
              <c:numCache>
                <c:formatCode>General</c:formatCode>
                <c:ptCount val="2"/>
                <c:pt idx="0">
                  <c:v>71.8</c:v>
                </c:pt>
                <c:pt idx="1">
                  <c:v>6.8</c:v>
                </c:pt>
              </c:numCache>
            </c:numRef>
          </c:val>
          <c:extLst>
            <c:ext xmlns:c16="http://schemas.microsoft.com/office/drawing/2014/chart" uri="{C3380CC4-5D6E-409C-BE32-E72D297353CC}">
              <c16:uniqueId val="{00000003-80D1-4699-9616-6D2C6231F852}"/>
            </c:ext>
          </c:extLst>
        </c:ser>
        <c:ser>
          <c:idx val="2"/>
          <c:order val="2"/>
          <c:tx>
            <c:strRef>
              <c:f>住宅・土地の所有状況!$A$26</c:f>
              <c:strCache>
                <c:ptCount val="1"/>
                <c:pt idx="0">
                  <c:v>平成30年</c:v>
                </c:pt>
              </c:strCache>
            </c:strRef>
          </c:tx>
          <c:spPr>
            <a:pattFill prst="pct30">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4-80D1-4699-9616-6D2C6231F852}"/>
              </c:ext>
            </c:extLst>
          </c:dPt>
          <c:dLbls>
            <c:dLbl>
              <c:idx val="0"/>
              <c:spPr>
                <a:solidFill>
                  <a:schemeClr val="bg1"/>
                </a:solidFill>
              </c:spPr>
              <c:txPr>
                <a:bodyPr/>
                <a:lstStyle/>
                <a:p>
                  <a:pPr>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D1-4699-9616-6D2C6231F852}"/>
                </c:ext>
              </c:extLst>
            </c:dLbl>
            <c:spPr>
              <a:noFill/>
              <a:ln>
                <a:noFill/>
              </a:ln>
              <a:effectLst/>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住宅・土地の所有状況!$B$22:$C$22</c:f>
              <c:strCache>
                <c:ptCount val="2"/>
                <c:pt idx="0">
                  <c:v>住宅を所有</c:v>
                </c:pt>
                <c:pt idx="1">
                  <c:v>現住居以外の住宅を所有</c:v>
                </c:pt>
              </c:strCache>
            </c:strRef>
          </c:cat>
          <c:val>
            <c:numRef>
              <c:f>住宅・土地の所有状況!$B$26:$C$26</c:f>
              <c:numCache>
                <c:formatCode>General</c:formatCode>
                <c:ptCount val="2"/>
                <c:pt idx="0">
                  <c:v>70.8</c:v>
                </c:pt>
                <c:pt idx="1">
                  <c:v>6.1</c:v>
                </c:pt>
              </c:numCache>
            </c:numRef>
          </c:val>
          <c:extLst>
            <c:ext xmlns:c16="http://schemas.microsoft.com/office/drawing/2014/chart" uri="{C3380CC4-5D6E-409C-BE32-E72D297353CC}">
              <c16:uniqueId val="{00000005-80D1-4699-9616-6D2C6231F852}"/>
            </c:ext>
          </c:extLst>
        </c:ser>
        <c:dLbls>
          <c:showLegendKey val="0"/>
          <c:showVal val="0"/>
          <c:showCatName val="0"/>
          <c:showSerName val="0"/>
          <c:showPercent val="0"/>
          <c:showBubbleSize val="0"/>
        </c:dLbls>
        <c:gapWidth val="200"/>
        <c:axId val="139948416"/>
        <c:axId val="139949952"/>
      </c:barChart>
      <c:catAx>
        <c:axId val="139948416"/>
        <c:scaling>
          <c:orientation val="minMax"/>
        </c:scaling>
        <c:delete val="0"/>
        <c:axPos val="b"/>
        <c:numFmt formatCode="General" sourceLinked="1"/>
        <c:majorTickMark val="in"/>
        <c:minorTickMark val="none"/>
        <c:tickLblPos val="nextTo"/>
        <c:spPr>
          <a:ln>
            <a:solidFill>
              <a:schemeClr val="tx1"/>
            </a:solidFill>
          </a:ln>
        </c:spPr>
        <c:txPr>
          <a:bodyPr/>
          <a:lstStyle/>
          <a:p>
            <a:pPr algn="ctr" rtl="0">
              <a:defRPr/>
            </a:pPr>
            <a:endParaRPr lang="ja-JP"/>
          </a:p>
        </c:txPr>
        <c:crossAx val="139949952"/>
        <c:crosses val="autoZero"/>
        <c:auto val="1"/>
        <c:lblAlgn val="ctr"/>
        <c:lblOffset val="100"/>
        <c:noMultiLvlLbl val="0"/>
      </c:catAx>
      <c:valAx>
        <c:axId val="139949952"/>
        <c:scaling>
          <c:orientation val="minMax"/>
        </c:scaling>
        <c:delete val="0"/>
        <c:axPos val="l"/>
        <c:majorGridlines>
          <c:spPr>
            <a:ln>
              <a:solidFill>
                <a:schemeClr val="tx1"/>
              </a:solidFill>
              <a:prstDash val="sysDash"/>
            </a:ln>
          </c:spPr>
        </c:majorGridlines>
        <c:numFmt formatCode="General" sourceLinked="1"/>
        <c:majorTickMark val="in"/>
        <c:minorTickMark val="none"/>
        <c:tickLblPos val="nextTo"/>
        <c:spPr>
          <a:ln>
            <a:solidFill>
              <a:schemeClr val="tx1"/>
            </a:solidFill>
          </a:ln>
        </c:spPr>
        <c:txPr>
          <a:bodyPr/>
          <a:lstStyle/>
          <a:p>
            <a:pPr algn="ctr" rtl="0">
              <a:defRPr/>
            </a:pPr>
            <a:endParaRPr lang="ja-JP"/>
          </a:p>
        </c:txPr>
        <c:crossAx val="139948416"/>
        <c:crosses val="autoZero"/>
        <c:crossBetween val="between"/>
        <c:majorUnit val="20"/>
      </c:valAx>
      <c:spPr>
        <a:ln>
          <a:solidFill>
            <a:schemeClr val="tx2"/>
          </a:solidFill>
        </a:ln>
      </c:spPr>
    </c:plotArea>
    <c:legend>
      <c:legendPos val="r"/>
      <c:layout>
        <c:manualLayout>
          <c:xMode val="edge"/>
          <c:yMode val="edge"/>
          <c:x val="0.72832809479062033"/>
          <c:y val="0.19468677526420308"/>
          <c:w val="0.21126882716049383"/>
          <c:h val="0.1842361111111111"/>
        </c:manualLayout>
      </c:layout>
      <c:overlay val="1"/>
      <c:spPr>
        <a:solidFill>
          <a:schemeClr val="bg1"/>
        </a:solidFill>
        <a:ln w="3175">
          <a:solidFill>
            <a:schemeClr val="tx1"/>
          </a:solidFill>
        </a:ln>
      </c:spPr>
      <c:txPr>
        <a:bodyPr/>
        <a:lstStyle/>
        <a:p>
          <a:pPr algn="l" rtl="0">
            <a:defRPr/>
          </a:pPr>
          <a:endParaRPr lang="ja-JP"/>
        </a:p>
      </c:txPr>
    </c:legend>
    <c:plotVisOnly val="1"/>
    <c:dispBlanksAs val="gap"/>
    <c:showDLblsOverMax val="0"/>
  </c:chart>
  <c:txPr>
    <a:bodyPr horzOverflow="overflow" anchor="ctr" anchorCtr="1"/>
    <a:lstStyle/>
    <a:p>
      <a:pPr algn="ctr" rtl="0">
        <a:defRPr lang="ja-JP" altLang="en-US" sz="600">
          <a:solidFill>
            <a:schemeClr val="tx1"/>
          </a:solidFill>
          <a:latin typeface="+mj-ea"/>
          <a:ea typeface="+mj-ea"/>
        </a:defRPr>
      </a:pPr>
      <a:endParaRPr lang="ja-JP"/>
    </a:p>
  </c:txPr>
  <c:externalData r:id="rId1">
    <c:autoUpdate val="0"/>
  </c:externalData>
  <c:userShapes r:id="rId2"/>
  <c:extLst/>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a:t>
            </a:r>
            <a:r>
              <a:rPr lang="ja-JP" altLang="en-US" sz="800"/>
              <a:t>５</a:t>
            </a:r>
            <a:r>
              <a:rPr lang="ja-JP" sz="800"/>
              <a:t>－３　都道府県別住宅の所有率（平成</a:t>
            </a:r>
            <a:r>
              <a:rPr lang="en-US" altLang="ja-JP" sz="800"/>
              <a:t>30</a:t>
            </a:r>
            <a:r>
              <a:rPr lang="ja-JP" sz="800"/>
              <a:t>年）</a:t>
            </a:r>
          </a:p>
        </c:rich>
      </c:tx>
      <c:layout>
        <c:manualLayout>
          <c:xMode val="edge"/>
          <c:yMode val="edge"/>
          <c:x val="0.31307761605383838"/>
          <c:y val="2.4371132440561719E-2"/>
        </c:manualLayout>
      </c:layout>
      <c:overlay val="0"/>
    </c:title>
    <c:autoTitleDeleted val="0"/>
    <c:plotArea>
      <c:layout>
        <c:manualLayout>
          <c:layoutTarget val="inner"/>
          <c:xMode val="edge"/>
          <c:yMode val="edge"/>
          <c:x val="4.8473348531358491E-2"/>
          <c:y val="0.13311279203297102"/>
          <c:w val="0.90294365576565705"/>
          <c:h val="0.68156713987393913"/>
        </c:manualLayout>
      </c:layout>
      <c:barChart>
        <c:barDir val="col"/>
        <c:grouping val="clustered"/>
        <c:varyColors val="0"/>
        <c:ser>
          <c:idx val="0"/>
          <c:order val="0"/>
          <c:spPr>
            <a:solidFill>
              <a:schemeClr val="accent5"/>
            </a:solidFill>
            <a:ln>
              <a:noFill/>
            </a:ln>
          </c:spPr>
          <c:invertIfNegative val="0"/>
          <c:dPt>
            <c:idx val="0"/>
            <c:invertIfNegative val="0"/>
            <c:bubble3D val="0"/>
            <c:spPr>
              <a:pattFill prst="ltUpDiag">
                <a:fgClr>
                  <a:schemeClr val="accent5"/>
                </a:fgClr>
                <a:bgClr>
                  <a:schemeClr val="bg1"/>
                </a:bgClr>
              </a:pattFill>
              <a:ln w="15875">
                <a:solidFill>
                  <a:schemeClr val="tx1"/>
                </a:solidFill>
              </a:ln>
            </c:spPr>
            <c:extLst>
              <c:ext xmlns:c16="http://schemas.microsoft.com/office/drawing/2014/chart" uri="{C3380CC4-5D6E-409C-BE32-E72D297353CC}">
                <c16:uniqueId val="{00000001-08F7-4CD1-A318-2E1633229EE3}"/>
              </c:ext>
            </c:extLst>
          </c:dPt>
          <c:dPt>
            <c:idx val="1"/>
            <c:invertIfNegative val="0"/>
            <c:bubble3D val="0"/>
            <c:spPr>
              <a:solidFill>
                <a:schemeClr val="accent5"/>
              </a:solidFill>
              <a:ln w="3175">
                <a:noFill/>
              </a:ln>
            </c:spPr>
            <c:extLst>
              <c:ext xmlns:c16="http://schemas.microsoft.com/office/drawing/2014/chart" uri="{C3380CC4-5D6E-409C-BE32-E72D297353CC}">
                <c16:uniqueId val="{00000003-08F7-4CD1-A318-2E1633229EE3}"/>
              </c:ext>
            </c:extLst>
          </c:dPt>
          <c:dPt>
            <c:idx val="8"/>
            <c:invertIfNegative val="0"/>
            <c:bubble3D val="0"/>
            <c:spPr>
              <a:solidFill>
                <a:schemeClr val="accent5"/>
              </a:solidFill>
              <a:ln w="3175">
                <a:noFill/>
              </a:ln>
            </c:spPr>
            <c:extLst>
              <c:ext xmlns:c16="http://schemas.microsoft.com/office/drawing/2014/chart" uri="{C3380CC4-5D6E-409C-BE32-E72D297353CC}">
                <c16:uniqueId val="{00000005-08F7-4CD1-A318-2E1633229EE3}"/>
              </c:ext>
            </c:extLst>
          </c:dPt>
          <c:dPt>
            <c:idx val="12"/>
            <c:invertIfNegative val="0"/>
            <c:bubble3D val="0"/>
            <c:spPr>
              <a:solidFill>
                <a:schemeClr val="accent5"/>
              </a:solidFill>
              <a:ln w="3175">
                <a:noFill/>
              </a:ln>
            </c:spPr>
            <c:extLst>
              <c:ext xmlns:c16="http://schemas.microsoft.com/office/drawing/2014/chart" uri="{C3380CC4-5D6E-409C-BE32-E72D297353CC}">
                <c16:uniqueId val="{00000007-08F7-4CD1-A318-2E1633229EE3}"/>
              </c:ext>
            </c:extLst>
          </c:dPt>
          <c:dPt>
            <c:idx val="31"/>
            <c:invertIfNegative val="0"/>
            <c:bubble3D val="0"/>
            <c:spPr>
              <a:solidFill>
                <a:schemeClr val="accent5"/>
              </a:solidFill>
              <a:ln w="3175">
                <a:noFill/>
              </a:ln>
            </c:spPr>
            <c:extLst>
              <c:ext xmlns:c16="http://schemas.microsoft.com/office/drawing/2014/chart" uri="{C3380CC4-5D6E-409C-BE32-E72D297353CC}">
                <c16:uniqueId val="{00000009-08F7-4CD1-A318-2E1633229EE3}"/>
              </c:ext>
            </c:extLst>
          </c:dPt>
          <c:dPt>
            <c:idx val="35"/>
            <c:invertIfNegative val="0"/>
            <c:bubble3D val="0"/>
            <c:spPr>
              <a:solidFill>
                <a:schemeClr val="accent5"/>
              </a:solidFill>
              <a:ln w="3175">
                <a:noFill/>
              </a:ln>
            </c:spPr>
            <c:extLst>
              <c:ext xmlns:c16="http://schemas.microsoft.com/office/drawing/2014/chart" uri="{C3380CC4-5D6E-409C-BE32-E72D297353CC}">
                <c16:uniqueId val="{0000000B-08F7-4CD1-A318-2E1633229EE3}"/>
              </c:ext>
            </c:extLst>
          </c:dPt>
          <c:dPt>
            <c:idx val="37"/>
            <c:invertIfNegative val="0"/>
            <c:bubble3D val="0"/>
            <c:spPr>
              <a:solidFill>
                <a:schemeClr val="accent5"/>
              </a:solidFill>
              <a:ln w="3175">
                <a:noFill/>
              </a:ln>
            </c:spPr>
            <c:extLst>
              <c:ext xmlns:c16="http://schemas.microsoft.com/office/drawing/2014/chart" uri="{C3380CC4-5D6E-409C-BE32-E72D297353CC}">
                <c16:uniqueId val="{0000000D-08F7-4CD1-A318-2E1633229EE3}"/>
              </c:ext>
            </c:extLst>
          </c:dPt>
          <c:dPt>
            <c:idx val="38"/>
            <c:invertIfNegative val="0"/>
            <c:bubble3D val="0"/>
            <c:spPr>
              <a:pattFill prst="pct20">
                <a:fgClr>
                  <a:schemeClr val="accent5"/>
                </a:fgClr>
                <a:bgClr>
                  <a:schemeClr val="bg1"/>
                </a:bgClr>
              </a:pattFill>
              <a:ln w="12700">
                <a:solidFill>
                  <a:schemeClr val="tx1"/>
                </a:solidFill>
              </a:ln>
            </c:spPr>
            <c:extLst>
              <c:ext xmlns:c16="http://schemas.microsoft.com/office/drawing/2014/chart" uri="{C3380CC4-5D6E-409C-BE32-E72D297353CC}">
                <c16:uniqueId val="{0000000F-08F7-4CD1-A318-2E1633229EE3}"/>
              </c:ext>
            </c:extLst>
          </c:dPt>
          <c:dPt>
            <c:idx val="39"/>
            <c:invertIfNegative val="0"/>
            <c:bubble3D val="0"/>
            <c:spPr>
              <a:solidFill>
                <a:schemeClr val="accent5"/>
              </a:solidFill>
              <a:ln w="3175">
                <a:noFill/>
              </a:ln>
            </c:spPr>
            <c:extLst>
              <c:ext xmlns:c16="http://schemas.microsoft.com/office/drawing/2014/chart" uri="{C3380CC4-5D6E-409C-BE32-E72D297353CC}">
                <c16:uniqueId val="{00000011-08F7-4CD1-A318-2E1633229EE3}"/>
              </c:ext>
            </c:extLst>
          </c:dPt>
          <c:dPt>
            <c:idx val="47"/>
            <c:invertIfNegative val="0"/>
            <c:bubble3D val="0"/>
            <c:spPr>
              <a:solidFill>
                <a:schemeClr val="accent5"/>
              </a:solidFill>
              <a:ln w="3175">
                <a:noFill/>
              </a:ln>
            </c:spPr>
            <c:extLst>
              <c:ext xmlns:c16="http://schemas.microsoft.com/office/drawing/2014/chart" uri="{C3380CC4-5D6E-409C-BE32-E72D297353CC}">
                <c16:uniqueId val="{00000013-08F7-4CD1-A318-2E1633229EE3}"/>
              </c:ext>
            </c:extLst>
          </c:dPt>
          <c:dLbls>
            <c:dLbl>
              <c:idx val="0"/>
              <c:layout>
                <c:manualLayout>
                  <c:x val="9.7995974603147171E-3"/>
                  <c:y val="1.881467544684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F7-4CD1-A318-2E1633229EE3}"/>
                </c:ext>
              </c:extLst>
            </c:dLbl>
            <c:dLbl>
              <c:idx val="1"/>
              <c:spPr>
                <a:solidFill>
                  <a:schemeClr val="bg1"/>
                </a:solidFill>
              </c:spPr>
              <c:txPr>
                <a:bodyPr/>
                <a:lstStyle/>
                <a:p>
                  <a:pPr>
                    <a:defRPr sz="800"/>
                  </a:pPr>
                  <a:endParaRPr lang="ja-JP"/>
                </a:p>
              </c:txPr>
              <c:showLegendKey val="0"/>
              <c:showVal val="0"/>
              <c:showCatName val="0"/>
              <c:showSerName val="0"/>
              <c:showPercent val="0"/>
              <c:showBubbleSize val="0"/>
              <c:extLst>
                <c:ext xmlns:c16="http://schemas.microsoft.com/office/drawing/2014/chart" uri="{C3380CC4-5D6E-409C-BE32-E72D297353CC}">
                  <c16:uniqueId val="{00000003-08F7-4CD1-A318-2E1633229EE3}"/>
                </c:ext>
              </c:extLst>
            </c:dLbl>
            <c:dLbl>
              <c:idx val="38"/>
              <c:spPr>
                <a:solidFill>
                  <a:schemeClr val="bg1"/>
                </a:solidFill>
              </c:spPr>
              <c:txPr>
                <a:bodyPr/>
                <a:lstStyle/>
                <a:p>
                  <a:pPr>
                    <a:defRPr sz="800"/>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8F7-4CD1-A318-2E1633229EE3}"/>
                </c:ext>
              </c:extLst>
            </c:dLbl>
            <c:spPr>
              <a:noFill/>
              <a:ln>
                <a:noFill/>
              </a:ln>
              <a:effectLst/>
            </c:spPr>
            <c:txPr>
              <a:bodyPr/>
              <a:lstStyle/>
              <a:p>
                <a:pPr>
                  <a:defRPr sz="800"/>
                </a:pPr>
                <a:endParaRPr lang="ja-JP"/>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住宅・土地の所有状況!$C$43:$C$90</c:f>
              <c:strCache>
                <c:ptCount val="48"/>
                <c:pt idx="0">
                  <c:v>秋田県</c:v>
                </c:pt>
                <c:pt idx="1">
                  <c:v>富山県</c:v>
                </c:pt>
                <c:pt idx="2">
                  <c:v>新潟県</c:v>
                </c:pt>
                <c:pt idx="3">
                  <c:v>福井県</c:v>
                </c:pt>
                <c:pt idx="4">
                  <c:v>山形県</c:v>
                </c:pt>
                <c:pt idx="5">
                  <c:v>和歌山県</c:v>
                </c:pt>
                <c:pt idx="6">
                  <c:v>島根県</c:v>
                </c:pt>
                <c:pt idx="7">
                  <c:v>岐阜県</c:v>
                </c:pt>
                <c:pt idx="8">
                  <c:v>長野県</c:v>
                </c:pt>
                <c:pt idx="9">
                  <c:v>青森県</c:v>
                </c:pt>
                <c:pt idx="10">
                  <c:v>岩手県</c:v>
                </c:pt>
                <c:pt idx="11">
                  <c:v>石川県</c:v>
                </c:pt>
                <c:pt idx="12">
                  <c:v>佐賀県</c:v>
                </c:pt>
                <c:pt idx="13">
                  <c:v>群馬県</c:v>
                </c:pt>
                <c:pt idx="14">
                  <c:v>茨城県</c:v>
                </c:pt>
                <c:pt idx="15">
                  <c:v>滋賀県</c:v>
                </c:pt>
                <c:pt idx="16">
                  <c:v>香川県</c:v>
                </c:pt>
                <c:pt idx="17">
                  <c:v>三重県</c:v>
                </c:pt>
                <c:pt idx="18">
                  <c:v>栃木県</c:v>
                </c:pt>
                <c:pt idx="19">
                  <c:v>山梨県</c:v>
                </c:pt>
                <c:pt idx="20">
                  <c:v>奈良県</c:v>
                </c:pt>
                <c:pt idx="21">
                  <c:v>鳥取県</c:v>
                </c:pt>
                <c:pt idx="22">
                  <c:v>福島県</c:v>
                </c:pt>
                <c:pt idx="23">
                  <c:v>静岡県</c:v>
                </c:pt>
                <c:pt idx="24">
                  <c:v>山口県</c:v>
                </c:pt>
                <c:pt idx="25">
                  <c:v>岡山県</c:v>
                </c:pt>
                <c:pt idx="26">
                  <c:v>鹿児島県</c:v>
                </c:pt>
                <c:pt idx="27">
                  <c:v>徳島県</c:v>
                </c:pt>
                <c:pt idx="28">
                  <c:v>大分県</c:v>
                </c:pt>
                <c:pt idx="29">
                  <c:v>愛媛県</c:v>
                </c:pt>
                <c:pt idx="30">
                  <c:v>宮崎県</c:v>
                </c:pt>
                <c:pt idx="31">
                  <c:v>長崎県</c:v>
                </c:pt>
                <c:pt idx="32">
                  <c:v>兵庫県</c:v>
                </c:pt>
                <c:pt idx="33">
                  <c:v>高知県</c:v>
                </c:pt>
                <c:pt idx="34">
                  <c:v>千葉県</c:v>
                </c:pt>
                <c:pt idx="35">
                  <c:v>熊本県</c:v>
                </c:pt>
                <c:pt idx="36">
                  <c:v>埼玉県</c:v>
                </c:pt>
                <c:pt idx="37">
                  <c:v>広島県</c:v>
                </c:pt>
                <c:pt idx="38">
                  <c:v>全国</c:v>
                </c:pt>
                <c:pt idx="39">
                  <c:v>愛知県</c:v>
                </c:pt>
                <c:pt idx="40">
                  <c:v>宮城県</c:v>
                </c:pt>
                <c:pt idx="41">
                  <c:v>北海道</c:v>
                </c:pt>
                <c:pt idx="42">
                  <c:v>神奈川県</c:v>
                </c:pt>
                <c:pt idx="43">
                  <c:v>京都府</c:v>
                </c:pt>
                <c:pt idx="44">
                  <c:v>福岡県</c:v>
                </c:pt>
                <c:pt idx="45">
                  <c:v>大阪府</c:v>
                </c:pt>
                <c:pt idx="46">
                  <c:v>沖縄県</c:v>
                </c:pt>
                <c:pt idx="47">
                  <c:v>東京都</c:v>
                </c:pt>
              </c:strCache>
            </c:strRef>
          </c:cat>
          <c:val>
            <c:numRef>
              <c:f>住宅・土地の所有状況!$D$43:$D$90</c:f>
              <c:numCache>
                <c:formatCode>0.0</c:formatCode>
                <c:ptCount val="48"/>
                <c:pt idx="0">
                  <c:v>70.8</c:v>
                </c:pt>
                <c:pt idx="1">
                  <c:v>68.400000000000006</c:v>
                </c:pt>
                <c:pt idx="2">
                  <c:v>67.5</c:v>
                </c:pt>
                <c:pt idx="3">
                  <c:v>67.400000000000006</c:v>
                </c:pt>
                <c:pt idx="4">
                  <c:v>66.099999999999994</c:v>
                </c:pt>
                <c:pt idx="5">
                  <c:v>64.900000000000006</c:v>
                </c:pt>
                <c:pt idx="6">
                  <c:v>64.900000000000006</c:v>
                </c:pt>
                <c:pt idx="7">
                  <c:v>64.8</c:v>
                </c:pt>
                <c:pt idx="8">
                  <c:v>64.599999999999994</c:v>
                </c:pt>
                <c:pt idx="9">
                  <c:v>64.400000000000006</c:v>
                </c:pt>
                <c:pt idx="10">
                  <c:v>63.5</c:v>
                </c:pt>
                <c:pt idx="11">
                  <c:v>63.5</c:v>
                </c:pt>
                <c:pt idx="12">
                  <c:v>62.5</c:v>
                </c:pt>
                <c:pt idx="13">
                  <c:v>62.4</c:v>
                </c:pt>
                <c:pt idx="14">
                  <c:v>62.2</c:v>
                </c:pt>
                <c:pt idx="15">
                  <c:v>61.6</c:v>
                </c:pt>
                <c:pt idx="16">
                  <c:v>61.2</c:v>
                </c:pt>
                <c:pt idx="17">
                  <c:v>61.1</c:v>
                </c:pt>
                <c:pt idx="18">
                  <c:v>60.8</c:v>
                </c:pt>
                <c:pt idx="19">
                  <c:v>60.8</c:v>
                </c:pt>
                <c:pt idx="20">
                  <c:v>60.3</c:v>
                </c:pt>
                <c:pt idx="21">
                  <c:v>60</c:v>
                </c:pt>
                <c:pt idx="22">
                  <c:v>59.8</c:v>
                </c:pt>
                <c:pt idx="23">
                  <c:v>59.8</c:v>
                </c:pt>
                <c:pt idx="24">
                  <c:v>59.5</c:v>
                </c:pt>
                <c:pt idx="25">
                  <c:v>58.8</c:v>
                </c:pt>
                <c:pt idx="26">
                  <c:v>57.8</c:v>
                </c:pt>
                <c:pt idx="27">
                  <c:v>57.5</c:v>
                </c:pt>
                <c:pt idx="28">
                  <c:v>57.5</c:v>
                </c:pt>
                <c:pt idx="29">
                  <c:v>57.3</c:v>
                </c:pt>
                <c:pt idx="30">
                  <c:v>57.3</c:v>
                </c:pt>
                <c:pt idx="31">
                  <c:v>55.6</c:v>
                </c:pt>
                <c:pt idx="32">
                  <c:v>53.6</c:v>
                </c:pt>
                <c:pt idx="33">
                  <c:v>53.6</c:v>
                </c:pt>
                <c:pt idx="34">
                  <c:v>53.4</c:v>
                </c:pt>
                <c:pt idx="35">
                  <c:v>53</c:v>
                </c:pt>
                <c:pt idx="36">
                  <c:v>52.9</c:v>
                </c:pt>
                <c:pt idx="37">
                  <c:v>51.8</c:v>
                </c:pt>
                <c:pt idx="38">
                  <c:v>50.5</c:v>
                </c:pt>
                <c:pt idx="39">
                  <c:v>50.1</c:v>
                </c:pt>
                <c:pt idx="40">
                  <c:v>49.8</c:v>
                </c:pt>
                <c:pt idx="41">
                  <c:v>48</c:v>
                </c:pt>
                <c:pt idx="42">
                  <c:v>46.7</c:v>
                </c:pt>
                <c:pt idx="43">
                  <c:v>46</c:v>
                </c:pt>
                <c:pt idx="44">
                  <c:v>42.6</c:v>
                </c:pt>
                <c:pt idx="45">
                  <c:v>40.9</c:v>
                </c:pt>
                <c:pt idx="46">
                  <c:v>32</c:v>
                </c:pt>
                <c:pt idx="47">
                  <c:v>30.6</c:v>
                </c:pt>
              </c:numCache>
            </c:numRef>
          </c:val>
          <c:extLst>
            <c:ext xmlns:c16="http://schemas.microsoft.com/office/drawing/2014/chart" uri="{C3380CC4-5D6E-409C-BE32-E72D297353CC}">
              <c16:uniqueId val="{00000014-08F7-4CD1-A318-2E1633229EE3}"/>
            </c:ext>
          </c:extLst>
        </c:ser>
        <c:dLbls>
          <c:showLegendKey val="0"/>
          <c:showVal val="0"/>
          <c:showCatName val="0"/>
          <c:showSerName val="0"/>
          <c:showPercent val="0"/>
          <c:showBubbleSize val="0"/>
        </c:dLbls>
        <c:gapWidth val="76"/>
        <c:axId val="140158848"/>
        <c:axId val="140160384"/>
      </c:barChart>
      <c:catAx>
        <c:axId val="140158848"/>
        <c:scaling>
          <c:orientation val="minMax"/>
        </c:scaling>
        <c:delete val="0"/>
        <c:axPos val="b"/>
        <c:numFmt formatCode="General" sourceLinked="1"/>
        <c:majorTickMark val="none"/>
        <c:minorTickMark val="none"/>
        <c:tickLblPos val="low"/>
        <c:spPr>
          <a:ln>
            <a:solidFill>
              <a:schemeClr val="tx1"/>
            </a:solidFill>
          </a:ln>
        </c:spPr>
        <c:txPr>
          <a:bodyPr vert="eaVert"/>
          <a:lstStyle/>
          <a:p>
            <a:pPr algn="ctr" rtl="0">
              <a:defRPr sz="800"/>
            </a:pPr>
            <a:endParaRPr lang="ja-JP"/>
          </a:p>
        </c:txPr>
        <c:crossAx val="140160384"/>
        <c:crosses val="autoZero"/>
        <c:auto val="1"/>
        <c:lblAlgn val="ctr"/>
        <c:lblOffset val="100"/>
        <c:noMultiLvlLbl val="0"/>
      </c:catAx>
      <c:valAx>
        <c:axId val="140160384"/>
        <c:scaling>
          <c:orientation val="minMax"/>
        </c:scaling>
        <c:delete val="0"/>
        <c:axPos val="l"/>
        <c:majorGridlines>
          <c:spPr>
            <a:ln>
              <a:prstDash val="sysDot"/>
            </a:ln>
          </c:spPr>
        </c:majorGridlines>
        <c:numFmt formatCode="#,##0_);[Red]\(#,##0\)" sourceLinked="0"/>
        <c:majorTickMark val="in"/>
        <c:minorTickMark val="none"/>
        <c:tickLblPos val="nextTo"/>
        <c:spPr>
          <a:ln>
            <a:solidFill>
              <a:schemeClr val="tx1"/>
            </a:solidFill>
          </a:ln>
        </c:spPr>
        <c:txPr>
          <a:bodyPr/>
          <a:lstStyle/>
          <a:p>
            <a:pPr algn="ctr" rtl="0">
              <a:defRPr sz="800"/>
            </a:pPr>
            <a:endParaRPr lang="ja-JP"/>
          </a:p>
        </c:txPr>
        <c:crossAx val="140158848"/>
        <c:crosses val="autoZero"/>
        <c:crossBetween val="between"/>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900"/>
            </a:pPr>
            <a:r>
              <a:rPr lang="ja-JP" sz="900"/>
              <a:t>図１</a:t>
            </a:r>
            <a:r>
              <a:rPr lang="ja-JP" altLang="en-US" sz="900"/>
              <a:t>５</a:t>
            </a:r>
            <a:r>
              <a:rPr lang="ja-JP" sz="900"/>
              <a:t>－４　都道府県別土地の所有率（平成</a:t>
            </a:r>
            <a:r>
              <a:rPr lang="en-US" altLang="ja-JP" sz="900"/>
              <a:t>30</a:t>
            </a:r>
            <a:r>
              <a:rPr lang="ja-JP" sz="900"/>
              <a:t>年）</a:t>
            </a:r>
          </a:p>
        </c:rich>
      </c:tx>
      <c:layout>
        <c:manualLayout>
          <c:xMode val="edge"/>
          <c:yMode val="edge"/>
          <c:x val="0.27316516561565168"/>
          <c:y val="1.4598540145985401E-2"/>
        </c:manualLayout>
      </c:layout>
      <c:overlay val="0"/>
    </c:title>
    <c:autoTitleDeleted val="0"/>
    <c:plotArea>
      <c:layout>
        <c:manualLayout>
          <c:layoutTarget val="inner"/>
          <c:xMode val="edge"/>
          <c:yMode val="edge"/>
          <c:x val="5.2874924295801339E-2"/>
          <c:y val="0.1540027557461745"/>
          <c:w val="0.90420855499336517"/>
          <c:h val="0.65055501278797812"/>
        </c:manualLayout>
      </c:layout>
      <c:barChart>
        <c:barDir val="col"/>
        <c:grouping val="clustered"/>
        <c:varyColors val="0"/>
        <c:ser>
          <c:idx val="0"/>
          <c:order val="0"/>
          <c:spPr>
            <a:solidFill>
              <a:schemeClr val="accent5"/>
            </a:solidFill>
            <a:ln>
              <a:noFill/>
            </a:ln>
          </c:spPr>
          <c:invertIfNegative val="0"/>
          <c:dPt>
            <c:idx val="0"/>
            <c:invertIfNegative val="0"/>
            <c:bubble3D val="0"/>
            <c:spPr>
              <a:pattFill prst="ltUpDiag">
                <a:fgClr>
                  <a:schemeClr val="accent5"/>
                </a:fgClr>
                <a:bgClr>
                  <a:schemeClr val="bg1"/>
                </a:bgClr>
              </a:pattFill>
              <a:ln w="15875">
                <a:solidFill>
                  <a:schemeClr val="tx1"/>
                </a:solidFill>
              </a:ln>
            </c:spPr>
            <c:extLst>
              <c:ext xmlns:c16="http://schemas.microsoft.com/office/drawing/2014/chart" uri="{C3380CC4-5D6E-409C-BE32-E72D297353CC}">
                <c16:uniqueId val="{00000001-E3B0-4F76-93BF-F60F1800B78B}"/>
              </c:ext>
            </c:extLst>
          </c:dPt>
          <c:dPt>
            <c:idx val="1"/>
            <c:invertIfNegative val="0"/>
            <c:bubble3D val="0"/>
            <c:spPr>
              <a:solidFill>
                <a:schemeClr val="accent5"/>
              </a:solidFill>
              <a:ln w="3175">
                <a:noFill/>
              </a:ln>
            </c:spPr>
            <c:extLst>
              <c:ext xmlns:c16="http://schemas.microsoft.com/office/drawing/2014/chart" uri="{C3380CC4-5D6E-409C-BE32-E72D297353CC}">
                <c16:uniqueId val="{00000003-E3B0-4F76-93BF-F60F1800B78B}"/>
              </c:ext>
            </c:extLst>
          </c:dPt>
          <c:dPt>
            <c:idx val="8"/>
            <c:invertIfNegative val="0"/>
            <c:bubble3D val="0"/>
            <c:spPr>
              <a:solidFill>
                <a:schemeClr val="accent5"/>
              </a:solidFill>
              <a:ln w="3175">
                <a:noFill/>
              </a:ln>
            </c:spPr>
            <c:extLst>
              <c:ext xmlns:c16="http://schemas.microsoft.com/office/drawing/2014/chart" uri="{C3380CC4-5D6E-409C-BE32-E72D297353CC}">
                <c16:uniqueId val="{00000005-E3B0-4F76-93BF-F60F1800B78B}"/>
              </c:ext>
            </c:extLst>
          </c:dPt>
          <c:dPt>
            <c:idx val="12"/>
            <c:invertIfNegative val="0"/>
            <c:bubble3D val="0"/>
            <c:spPr>
              <a:solidFill>
                <a:schemeClr val="accent5"/>
              </a:solidFill>
              <a:ln w="3175">
                <a:noFill/>
              </a:ln>
            </c:spPr>
            <c:extLst>
              <c:ext xmlns:c16="http://schemas.microsoft.com/office/drawing/2014/chart" uri="{C3380CC4-5D6E-409C-BE32-E72D297353CC}">
                <c16:uniqueId val="{00000007-E3B0-4F76-93BF-F60F1800B78B}"/>
              </c:ext>
            </c:extLst>
          </c:dPt>
          <c:dPt>
            <c:idx val="31"/>
            <c:invertIfNegative val="0"/>
            <c:bubble3D val="0"/>
            <c:spPr>
              <a:solidFill>
                <a:schemeClr val="accent5"/>
              </a:solidFill>
              <a:ln w="3175">
                <a:noFill/>
              </a:ln>
            </c:spPr>
            <c:extLst>
              <c:ext xmlns:c16="http://schemas.microsoft.com/office/drawing/2014/chart" uri="{C3380CC4-5D6E-409C-BE32-E72D297353CC}">
                <c16:uniqueId val="{00000009-E3B0-4F76-93BF-F60F1800B78B}"/>
              </c:ext>
            </c:extLst>
          </c:dPt>
          <c:dPt>
            <c:idx val="35"/>
            <c:invertIfNegative val="0"/>
            <c:bubble3D val="0"/>
            <c:spPr>
              <a:solidFill>
                <a:schemeClr val="accent5"/>
              </a:solidFill>
              <a:ln w="3175">
                <a:noFill/>
              </a:ln>
            </c:spPr>
            <c:extLst>
              <c:ext xmlns:c16="http://schemas.microsoft.com/office/drawing/2014/chart" uri="{C3380CC4-5D6E-409C-BE32-E72D297353CC}">
                <c16:uniqueId val="{0000000B-E3B0-4F76-93BF-F60F1800B78B}"/>
              </c:ext>
            </c:extLst>
          </c:dPt>
          <c:dPt>
            <c:idx val="37"/>
            <c:invertIfNegative val="0"/>
            <c:bubble3D val="0"/>
            <c:spPr>
              <a:solidFill>
                <a:schemeClr val="accent5"/>
              </a:solidFill>
              <a:ln w="3175">
                <a:noFill/>
              </a:ln>
            </c:spPr>
            <c:extLst>
              <c:ext xmlns:c16="http://schemas.microsoft.com/office/drawing/2014/chart" uri="{C3380CC4-5D6E-409C-BE32-E72D297353CC}">
                <c16:uniqueId val="{0000000D-E3B0-4F76-93BF-F60F1800B78B}"/>
              </c:ext>
            </c:extLst>
          </c:dPt>
          <c:dPt>
            <c:idx val="38"/>
            <c:invertIfNegative val="0"/>
            <c:bubble3D val="0"/>
            <c:spPr>
              <a:solidFill>
                <a:schemeClr val="accent5"/>
              </a:solidFill>
              <a:ln w="3175">
                <a:noFill/>
              </a:ln>
            </c:spPr>
            <c:extLst>
              <c:ext xmlns:c16="http://schemas.microsoft.com/office/drawing/2014/chart" uri="{C3380CC4-5D6E-409C-BE32-E72D297353CC}">
                <c16:uniqueId val="{0000000F-E3B0-4F76-93BF-F60F1800B78B}"/>
              </c:ext>
            </c:extLst>
          </c:dPt>
          <c:dPt>
            <c:idx val="39"/>
            <c:invertIfNegative val="0"/>
            <c:bubble3D val="0"/>
            <c:spPr>
              <a:pattFill prst="pct20">
                <a:fgClr>
                  <a:schemeClr val="accent5"/>
                </a:fgClr>
                <a:bgClr>
                  <a:schemeClr val="bg1"/>
                </a:bgClr>
              </a:pattFill>
              <a:ln w="12700">
                <a:solidFill>
                  <a:schemeClr val="tx1"/>
                </a:solidFill>
              </a:ln>
            </c:spPr>
            <c:extLst>
              <c:ext xmlns:c16="http://schemas.microsoft.com/office/drawing/2014/chart" uri="{C3380CC4-5D6E-409C-BE32-E72D297353CC}">
                <c16:uniqueId val="{00000011-E3B0-4F76-93BF-F60F1800B78B}"/>
              </c:ext>
            </c:extLst>
          </c:dPt>
          <c:dPt>
            <c:idx val="47"/>
            <c:invertIfNegative val="0"/>
            <c:bubble3D val="0"/>
            <c:spPr>
              <a:solidFill>
                <a:schemeClr val="accent5"/>
              </a:solidFill>
              <a:ln w="3175">
                <a:noFill/>
              </a:ln>
            </c:spPr>
            <c:extLst>
              <c:ext xmlns:c16="http://schemas.microsoft.com/office/drawing/2014/chart" uri="{C3380CC4-5D6E-409C-BE32-E72D297353CC}">
                <c16:uniqueId val="{00000013-E3B0-4F76-93BF-F60F1800B78B}"/>
              </c:ext>
            </c:extLst>
          </c:dPt>
          <c:dLbls>
            <c:dLbl>
              <c:idx val="0"/>
              <c:layout>
                <c:manualLayout>
                  <c:x val="1.175951695237766E-2"/>
                  <c:y val="9.40696735579736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B0-4F76-93BF-F60F1800B78B}"/>
                </c:ext>
              </c:extLst>
            </c:dLbl>
            <c:dLbl>
              <c:idx val="3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3B0-4F76-93BF-F60F1800B78B}"/>
                </c:ext>
              </c:extLst>
            </c:dLbl>
            <c:spPr>
              <a:noFill/>
              <a:ln>
                <a:noFill/>
              </a:ln>
              <a:effectLst/>
            </c:spPr>
            <c:txPr>
              <a:bodyPr/>
              <a:lstStyle/>
              <a:p>
                <a:pPr>
                  <a:defRPr sz="700"/>
                </a:pPr>
                <a:endParaRPr lang="ja-JP"/>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住宅・土地の所有状況!$G$43:$G$90</c:f>
              <c:strCache>
                <c:ptCount val="48"/>
                <c:pt idx="0">
                  <c:v>秋田県</c:v>
                </c:pt>
                <c:pt idx="1">
                  <c:v>富山県</c:v>
                </c:pt>
                <c:pt idx="2">
                  <c:v>新潟県</c:v>
                </c:pt>
                <c:pt idx="3">
                  <c:v>山形県</c:v>
                </c:pt>
                <c:pt idx="4">
                  <c:v>青森県</c:v>
                </c:pt>
                <c:pt idx="5">
                  <c:v>島根県</c:v>
                </c:pt>
                <c:pt idx="6">
                  <c:v>福井県</c:v>
                </c:pt>
                <c:pt idx="7">
                  <c:v>和歌山県</c:v>
                </c:pt>
                <c:pt idx="8">
                  <c:v>石川県</c:v>
                </c:pt>
                <c:pt idx="9">
                  <c:v>岐阜県</c:v>
                </c:pt>
                <c:pt idx="10">
                  <c:v>岩手県</c:v>
                </c:pt>
                <c:pt idx="11">
                  <c:v>長野県</c:v>
                </c:pt>
                <c:pt idx="12">
                  <c:v>佐賀県</c:v>
                </c:pt>
                <c:pt idx="13">
                  <c:v>茨城県</c:v>
                </c:pt>
                <c:pt idx="14">
                  <c:v>滋賀県</c:v>
                </c:pt>
                <c:pt idx="15">
                  <c:v>群馬県</c:v>
                </c:pt>
                <c:pt idx="16">
                  <c:v>三重県</c:v>
                </c:pt>
                <c:pt idx="17">
                  <c:v>奈良県</c:v>
                </c:pt>
                <c:pt idx="18">
                  <c:v>山梨県</c:v>
                </c:pt>
                <c:pt idx="19">
                  <c:v>鳥取県</c:v>
                </c:pt>
                <c:pt idx="20">
                  <c:v>香川県</c:v>
                </c:pt>
                <c:pt idx="21">
                  <c:v>栃木県</c:v>
                </c:pt>
                <c:pt idx="22">
                  <c:v>山口県</c:v>
                </c:pt>
                <c:pt idx="23">
                  <c:v>福島県</c:v>
                </c:pt>
                <c:pt idx="24">
                  <c:v>岡山県</c:v>
                </c:pt>
                <c:pt idx="25">
                  <c:v>徳島県</c:v>
                </c:pt>
                <c:pt idx="26">
                  <c:v>鹿児島県</c:v>
                </c:pt>
                <c:pt idx="27">
                  <c:v>静岡県</c:v>
                </c:pt>
                <c:pt idx="28">
                  <c:v>大分県</c:v>
                </c:pt>
                <c:pt idx="29">
                  <c:v>愛媛県</c:v>
                </c:pt>
                <c:pt idx="30">
                  <c:v>宮崎県</c:v>
                </c:pt>
                <c:pt idx="31">
                  <c:v>長崎県</c:v>
                </c:pt>
                <c:pt idx="32">
                  <c:v>高知県</c:v>
                </c:pt>
                <c:pt idx="33">
                  <c:v>熊本県</c:v>
                </c:pt>
                <c:pt idx="34">
                  <c:v>千葉県</c:v>
                </c:pt>
                <c:pt idx="35">
                  <c:v>兵庫県</c:v>
                </c:pt>
                <c:pt idx="36">
                  <c:v>埼玉県</c:v>
                </c:pt>
                <c:pt idx="37">
                  <c:v>広島県</c:v>
                </c:pt>
                <c:pt idx="38">
                  <c:v>宮城県</c:v>
                </c:pt>
                <c:pt idx="39">
                  <c:v>全国</c:v>
                </c:pt>
                <c:pt idx="40">
                  <c:v>愛知県</c:v>
                </c:pt>
                <c:pt idx="41">
                  <c:v>北海道</c:v>
                </c:pt>
                <c:pt idx="42">
                  <c:v>京都府</c:v>
                </c:pt>
                <c:pt idx="43">
                  <c:v>神奈川県</c:v>
                </c:pt>
                <c:pt idx="44">
                  <c:v>福岡県</c:v>
                </c:pt>
                <c:pt idx="45">
                  <c:v>大阪府</c:v>
                </c:pt>
                <c:pt idx="46">
                  <c:v>沖縄県</c:v>
                </c:pt>
                <c:pt idx="47">
                  <c:v>東京都</c:v>
                </c:pt>
              </c:strCache>
            </c:strRef>
          </c:cat>
          <c:val>
            <c:numRef>
              <c:f>住宅・土地の所有状況!$H$43:$H$90</c:f>
              <c:numCache>
                <c:formatCode>0.0</c:formatCode>
                <c:ptCount val="48"/>
                <c:pt idx="0">
                  <c:v>70.3</c:v>
                </c:pt>
                <c:pt idx="1">
                  <c:v>67.2</c:v>
                </c:pt>
                <c:pt idx="2">
                  <c:v>66.7</c:v>
                </c:pt>
                <c:pt idx="3">
                  <c:v>65.8</c:v>
                </c:pt>
                <c:pt idx="4">
                  <c:v>65</c:v>
                </c:pt>
                <c:pt idx="5">
                  <c:v>64.2</c:v>
                </c:pt>
                <c:pt idx="6">
                  <c:v>64.099999999999994</c:v>
                </c:pt>
                <c:pt idx="7">
                  <c:v>64.099999999999994</c:v>
                </c:pt>
                <c:pt idx="8">
                  <c:v>63.2</c:v>
                </c:pt>
                <c:pt idx="9">
                  <c:v>63</c:v>
                </c:pt>
                <c:pt idx="10">
                  <c:v>62.9</c:v>
                </c:pt>
                <c:pt idx="11">
                  <c:v>62.8</c:v>
                </c:pt>
                <c:pt idx="12">
                  <c:v>62.1</c:v>
                </c:pt>
                <c:pt idx="13">
                  <c:v>61.1</c:v>
                </c:pt>
                <c:pt idx="14">
                  <c:v>61</c:v>
                </c:pt>
                <c:pt idx="15">
                  <c:v>60.9</c:v>
                </c:pt>
                <c:pt idx="16">
                  <c:v>60.4</c:v>
                </c:pt>
                <c:pt idx="17">
                  <c:v>60.1</c:v>
                </c:pt>
                <c:pt idx="18">
                  <c:v>59.9</c:v>
                </c:pt>
                <c:pt idx="19">
                  <c:v>59.5</c:v>
                </c:pt>
                <c:pt idx="20">
                  <c:v>59.2</c:v>
                </c:pt>
                <c:pt idx="21">
                  <c:v>59.1</c:v>
                </c:pt>
                <c:pt idx="22">
                  <c:v>58.7</c:v>
                </c:pt>
                <c:pt idx="23">
                  <c:v>58.5</c:v>
                </c:pt>
                <c:pt idx="24">
                  <c:v>58.1</c:v>
                </c:pt>
                <c:pt idx="25">
                  <c:v>57.8</c:v>
                </c:pt>
                <c:pt idx="26">
                  <c:v>57.8</c:v>
                </c:pt>
                <c:pt idx="27">
                  <c:v>57.7</c:v>
                </c:pt>
                <c:pt idx="28">
                  <c:v>57.5</c:v>
                </c:pt>
                <c:pt idx="29">
                  <c:v>56.8</c:v>
                </c:pt>
                <c:pt idx="30">
                  <c:v>56.4</c:v>
                </c:pt>
                <c:pt idx="31">
                  <c:v>54</c:v>
                </c:pt>
                <c:pt idx="32">
                  <c:v>53.3</c:v>
                </c:pt>
                <c:pt idx="33">
                  <c:v>53.1</c:v>
                </c:pt>
                <c:pt idx="34">
                  <c:v>52.7</c:v>
                </c:pt>
                <c:pt idx="35">
                  <c:v>52.7</c:v>
                </c:pt>
                <c:pt idx="36">
                  <c:v>52.4</c:v>
                </c:pt>
                <c:pt idx="37">
                  <c:v>51.1</c:v>
                </c:pt>
                <c:pt idx="38">
                  <c:v>50.5</c:v>
                </c:pt>
                <c:pt idx="39">
                  <c:v>49.6</c:v>
                </c:pt>
                <c:pt idx="40">
                  <c:v>48.7</c:v>
                </c:pt>
                <c:pt idx="41">
                  <c:v>46.9</c:v>
                </c:pt>
                <c:pt idx="42">
                  <c:v>45.5</c:v>
                </c:pt>
                <c:pt idx="43">
                  <c:v>45.4</c:v>
                </c:pt>
                <c:pt idx="44">
                  <c:v>42.2</c:v>
                </c:pt>
                <c:pt idx="45">
                  <c:v>40.6</c:v>
                </c:pt>
                <c:pt idx="46">
                  <c:v>31.8</c:v>
                </c:pt>
                <c:pt idx="47">
                  <c:v>29.1</c:v>
                </c:pt>
              </c:numCache>
            </c:numRef>
          </c:val>
          <c:extLst>
            <c:ext xmlns:c16="http://schemas.microsoft.com/office/drawing/2014/chart" uri="{C3380CC4-5D6E-409C-BE32-E72D297353CC}">
              <c16:uniqueId val="{00000014-E3B0-4F76-93BF-F60F1800B78B}"/>
            </c:ext>
          </c:extLst>
        </c:ser>
        <c:dLbls>
          <c:showLegendKey val="0"/>
          <c:showVal val="0"/>
          <c:showCatName val="0"/>
          <c:showSerName val="0"/>
          <c:showPercent val="0"/>
          <c:showBubbleSize val="0"/>
        </c:dLbls>
        <c:gapWidth val="76"/>
        <c:axId val="140212096"/>
        <c:axId val="140213632"/>
      </c:barChart>
      <c:catAx>
        <c:axId val="140212096"/>
        <c:scaling>
          <c:orientation val="minMax"/>
        </c:scaling>
        <c:delete val="0"/>
        <c:axPos val="b"/>
        <c:numFmt formatCode="General" sourceLinked="1"/>
        <c:majorTickMark val="none"/>
        <c:minorTickMark val="none"/>
        <c:tickLblPos val="low"/>
        <c:spPr>
          <a:ln>
            <a:solidFill>
              <a:schemeClr val="tx1"/>
            </a:solidFill>
          </a:ln>
        </c:spPr>
        <c:txPr>
          <a:bodyPr vert="eaVert"/>
          <a:lstStyle/>
          <a:p>
            <a:pPr algn="ctr" rtl="0">
              <a:defRPr sz="700"/>
            </a:pPr>
            <a:endParaRPr lang="ja-JP"/>
          </a:p>
        </c:txPr>
        <c:crossAx val="140213632"/>
        <c:crosses val="autoZero"/>
        <c:auto val="1"/>
        <c:lblAlgn val="ctr"/>
        <c:lblOffset val="100"/>
        <c:noMultiLvlLbl val="0"/>
      </c:catAx>
      <c:valAx>
        <c:axId val="140213632"/>
        <c:scaling>
          <c:orientation val="minMax"/>
        </c:scaling>
        <c:delete val="0"/>
        <c:axPos val="l"/>
        <c:majorGridlines>
          <c:spPr>
            <a:ln>
              <a:prstDash val="sysDot"/>
            </a:ln>
          </c:spPr>
        </c:majorGridlines>
        <c:numFmt formatCode="#,##0_);[Red]\(#,##0\)" sourceLinked="0"/>
        <c:majorTickMark val="in"/>
        <c:minorTickMark val="none"/>
        <c:tickLblPos val="nextTo"/>
        <c:spPr>
          <a:ln>
            <a:solidFill>
              <a:schemeClr val="tx1"/>
            </a:solidFill>
          </a:ln>
        </c:spPr>
        <c:txPr>
          <a:bodyPr/>
          <a:lstStyle/>
          <a:p>
            <a:pPr algn="ctr" rtl="0">
              <a:defRPr sz="900"/>
            </a:pPr>
            <a:endParaRPr lang="ja-JP"/>
          </a:p>
        </c:txPr>
        <c:crossAx val="140212096"/>
        <c:crosses val="autoZero"/>
        <c:crossBetween val="between"/>
      </c:valAx>
      <c:spPr>
        <a:ln>
          <a:solidFill>
            <a:schemeClr val="tx1"/>
          </a:solidFill>
        </a:ln>
      </c:spPr>
    </c:plotArea>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a:pPr>
            <a:r>
              <a:rPr lang="ja-JP"/>
              <a:t>図１</a:t>
            </a:r>
            <a:r>
              <a:rPr lang="ja-JP" altLang="en-US"/>
              <a:t>６</a:t>
            </a:r>
            <a:r>
              <a:rPr lang="ja-JP"/>
              <a:t>－１　年齢階級別住宅の所有率－全国、秋田県（平成30年）</a:t>
            </a:r>
          </a:p>
        </c:rich>
      </c:tx>
      <c:overlay val="0"/>
    </c:title>
    <c:autoTitleDeleted val="0"/>
    <c:plotArea>
      <c:layout>
        <c:manualLayout>
          <c:layoutTarget val="inner"/>
          <c:xMode val="edge"/>
          <c:yMode val="edge"/>
          <c:x val="7.4169212962962958E-2"/>
          <c:y val="0.10672514871038641"/>
          <c:w val="0.89349282407407393"/>
          <c:h val="0.74595871601083374"/>
        </c:manualLayout>
      </c:layout>
      <c:lineChart>
        <c:grouping val="standard"/>
        <c:varyColors val="0"/>
        <c:ser>
          <c:idx val="0"/>
          <c:order val="0"/>
          <c:tx>
            <c:strRef>
              <c:f>'所有率（年齢階級別）'!$B$63</c:f>
              <c:strCache>
                <c:ptCount val="1"/>
                <c:pt idx="0">
                  <c:v>全国</c:v>
                </c:pt>
              </c:strCache>
            </c:strRef>
          </c:tx>
          <c:spPr>
            <a:ln w="19050">
              <a:solidFill>
                <a:schemeClr val="tx1"/>
              </a:solidFill>
              <a:prstDash val="sysDash"/>
            </a:ln>
          </c:spPr>
          <c:marker>
            <c:symbol val="square"/>
            <c:size val="5"/>
            <c:spPr>
              <a:solidFill>
                <a:schemeClr val="tx1"/>
              </a:solidFill>
              <a:ln>
                <a:solidFill>
                  <a:schemeClr val="accent5"/>
                </a:solidFill>
              </a:ln>
            </c:spPr>
          </c:marker>
          <c:cat>
            <c:strRef>
              <c:f>'所有率（年齢階級別）'!$A$64:$A$77</c:f>
              <c:strCache>
                <c:ptCount val="14"/>
                <c:pt idx="0">
                  <c:v>25歳
未満</c:v>
                </c:pt>
                <c:pt idx="1">
                  <c:v>25～
 29歳</c:v>
                </c:pt>
                <c:pt idx="2">
                  <c:v>30～
 34歳</c:v>
                </c:pt>
                <c:pt idx="3">
                  <c:v>35～
 39歳</c:v>
                </c:pt>
                <c:pt idx="4">
                  <c:v>40～
 44歳</c:v>
                </c:pt>
                <c:pt idx="5">
                  <c:v>45～
 49歳</c:v>
                </c:pt>
                <c:pt idx="6">
                  <c:v>50～
 54歳</c:v>
                </c:pt>
                <c:pt idx="7">
                  <c:v>55～
 59歳</c:v>
                </c:pt>
                <c:pt idx="8">
                  <c:v>60～
 64歳</c:v>
                </c:pt>
                <c:pt idx="9">
                  <c:v>65～
 69歳</c:v>
                </c:pt>
                <c:pt idx="10">
                  <c:v>70～
 74歳</c:v>
                </c:pt>
                <c:pt idx="11">
                  <c:v>75～
 79歳</c:v>
                </c:pt>
                <c:pt idx="12">
                  <c:v>80～
 84歳</c:v>
                </c:pt>
                <c:pt idx="13">
                  <c:v>85歳
以上</c:v>
                </c:pt>
              </c:strCache>
            </c:strRef>
          </c:cat>
          <c:val>
            <c:numRef>
              <c:f>'所有率（年齢階級別）'!$B$64:$B$77</c:f>
              <c:numCache>
                <c:formatCode>0.0</c:formatCode>
                <c:ptCount val="14"/>
                <c:pt idx="0">
                  <c:v>1.7</c:v>
                </c:pt>
                <c:pt idx="1">
                  <c:v>6.4</c:v>
                </c:pt>
                <c:pt idx="2">
                  <c:v>20.399999999999999</c:v>
                </c:pt>
                <c:pt idx="3">
                  <c:v>35.799999999999997</c:v>
                </c:pt>
                <c:pt idx="4">
                  <c:v>46</c:v>
                </c:pt>
                <c:pt idx="5">
                  <c:v>49.6</c:v>
                </c:pt>
                <c:pt idx="6">
                  <c:v>53.6</c:v>
                </c:pt>
                <c:pt idx="7">
                  <c:v>59.9</c:v>
                </c:pt>
                <c:pt idx="8">
                  <c:v>65.599999999999994</c:v>
                </c:pt>
                <c:pt idx="9">
                  <c:v>67.8</c:v>
                </c:pt>
                <c:pt idx="10">
                  <c:v>68.900000000000006</c:v>
                </c:pt>
                <c:pt idx="11">
                  <c:v>68.7</c:v>
                </c:pt>
                <c:pt idx="12" formatCode="General">
                  <c:v>67.400000000000006</c:v>
                </c:pt>
                <c:pt idx="13" formatCode="General">
                  <c:v>67.099999999999994</c:v>
                </c:pt>
              </c:numCache>
            </c:numRef>
          </c:val>
          <c:smooth val="0"/>
          <c:extLst>
            <c:ext xmlns:c16="http://schemas.microsoft.com/office/drawing/2014/chart" uri="{C3380CC4-5D6E-409C-BE32-E72D297353CC}">
              <c16:uniqueId val="{00000000-00D5-47FA-8537-68952AE704A3}"/>
            </c:ext>
          </c:extLst>
        </c:ser>
        <c:ser>
          <c:idx val="1"/>
          <c:order val="1"/>
          <c:tx>
            <c:strRef>
              <c:f>'所有率（年齢階級別）'!$C$63</c:f>
              <c:strCache>
                <c:ptCount val="1"/>
                <c:pt idx="0">
                  <c:v>秋田県</c:v>
                </c:pt>
              </c:strCache>
            </c:strRef>
          </c:tx>
          <c:spPr>
            <a:ln w="19050">
              <a:solidFill>
                <a:schemeClr val="tx1"/>
              </a:solidFill>
              <a:prstDash val="solid"/>
            </a:ln>
          </c:spPr>
          <c:marker>
            <c:symbol val="diamond"/>
            <c:size val="6"/>
            <c:spPr>
              <a:solidFill>
                <a:schemeClr val="tx1"/>
              </a:solidFill>
              <a:ln>
                <a:solidFill>
                  <a:schemeClr val="accent5"/>
                </a:solidFill>
              </a:ln>
            </c:spPr>
          </c:marker>
          <c:cat>
            <c:strRef>
              <c:f>'所有率（年齢階級別）'!$A$64:$A$77</c:f>
              <c:strCache>
                <c:ptCount val="14"/>
                <c:pt idx="0">
                  <c:v>25歳
未満</c:v>
                </c:pt>
                <c:pt idx="1">
                  <c:v>25～
 29歳</c:v>
                </c:pt>
                <c:pt idx="2">
                  <c:v>30～
 34歳</c:v>
                </c:pt>
                <c:pt idx="3">
                  <c:v>35～
 39歳</c:v>
                </c:pt>
                <c:pt idx="4">
                  <c:v>40～
 44歳</c:v>
                </c:pt>
                <c:pt idx="5">
                  <c:v>45～
 49歳</c:v>
                </c:pt>
                <c:pt idx="6">
                  <c:v>50～
 54歳</c:v>
                </c:pt>
                <c:pt idx="7">
                  <c:v>55～
 59歳</c:v>
                </c:pt>
                <c:pt idx="8">
                  <c:v>60～
 64歳</c:v>
                </c:pt>
                <c:pt idx="9">
                  <c:v>65～
 69歳</c:v>
                </c:pt>
                <c:pt idx="10">
                  <c:v>70～
 74歳</c:v>
                </c:pt>
                <c:pt idx="11">
                  <c:v>75～
 79歳</c:v>
                </c:pt>
                <c:pt idx="12">
                  <c:v>80～
 84歳</c:v>
                </c:pt>
                <c:pt idx="13">
                  <c:v>85歳
以上</c:v>
                </c:pt>
              </c:strCache>
            </c:strRef>
          </c:cat>
          <c:val>
            <c:numRef>
              <c:f>'所有率（年齢階級別）'!$C$64:$C$77</c:f>
              <c:numCache>
                <c:formatCode>0.0</c:formatCode>
                <c:ptCount val="14"/>
                <c:pt idx="0">
                  <c:v>0</c:v>
                </c:pt>
                <c:pt idx="1">
                  <c:v>10</c:v>
                </c:pt>
                <c:pt idx="2">
                  <c:v>30.76923076923077</c:v>
                </c:pt>
                <c:pt idx="3">
                  <c:v>44.444444444444443</c:v>
                </c:pt>
                <c:pt idx="4">
                  <c:v>65</c:v>
                </c:pt>
                <c:pt idx="5">
                  <c:v>68.965517241379317</c:v>
                </c:pt>
                <c:pt idx="6">
                  <c:v>66.666666666666657</c:v>
                </c:pt>
                <c:pt idx="7">
                  <c:v>75</c:v>
                </c:pt>
                <c:pt idx="8">
                  <c:v>82.5</c:v>
                </c:pt>
                <c:pt idx="9">
                  <c:v>84.313725490196077</c:v>
                </c:pt>
                <c:pt idx="10">
                  <c:v>86.842105263157904</c:v>
                </c:pt>
                <c:pt idx="11">
                  <c:v>79.310344827586206</c:v>
                </c:pt>
                <c:pt idx="12">
                  <c:v>82.142857142857139</c:v>
                </c:pt>
                <c:pt idx="13">
                  <c:v>85</c:v>
                </c:pt>
              </c:numCache>
            </c:numRef>
          </c:val>
          <c:smooth val="0"/>
          <c:extLst>
            <c:ext xmlns:c16="http://schemas.microsoft.com/office/drawing/2014/chart" uri="{C3380CC4-5D6E-409C-BE32-E72D297353CC}">
              <c16:uniqueId val="{00000001-00D5-47FA-8537-68952AE704A3}"/>
            </c:ext>
          </c:extLst>
        </c:ser>
        <c:dLbls>
          <c:showLegendKey val="0"/>
          <c:showVal val="0"/>
          <c:showCatName val="0"/>
          <c:showSerName val="0"/>
          <c:showPercent val="0"/>
          <c:showBubbleSize val="0"/>
        </c:dLbls>
        <c:marker val="1"/>
        <c:smooth val="0"/>
        <c:axId val="140513280"/>
        <c:axId val="140515200"/>
      </c:lineChart>
      <c:catAx>
        <c:axId val="140513280"/>
        <c:scaling>
          <c:orientation val="minMax"/>
        </c:scaling>
        <c:delete val="0"/>
        <c:axPos val="b"/>
        <c:numFmt formatCode="General" sourceLinked="1"/>
        <c:majorTickMark val="in"/>
        <c:minorTickMark val="none"/>
        <c:tickLblPos val="nextTo"/>
        <c:spPr>
          <a:ln>
            <a:solidFill>
              <a:schemeClr val="tx1"/>
            </a:solidFill>
          </a:ln>
        </c:spPr>
        <c:txPr>
          <a:bodyPr rot="0"/>
          <a:lstStyle/>
          <a:p>
            <a:pPr algn="ctr" rtl="0">
              <a:defRPr/>
            </a:pPr>
            <a:endParaRPr lang="ja-JP"/>
          </a:p>
        </c:txPr>
        <c:crossAx val="140515200"/>
        <c:crosses val="autoZero"/>
        <c:auto val="1"/>
        <c:lblAlgn val="ctr"/>
        <c:lblOffset val="100"/>
        <c:noMultiLvlLbl val="0"/>
      </c:catAx>
      <c:valAx>
        <c:axId val="140515200"/>
        <c:scaling>
          <c:orientation val="minMax"/>
        </c:scaling>
        <c:delete val="0"/>
        <c:axPos val="l"/>
        <c:majorGridlines>
          <c:spPr>
            <a:ln>
              <a:prstDash val="sysDash"/>
            </a:ln>
          </c:spPr>
        </c:majorGridlines>
        <c:numFmt formatCode="#,##0_);[Red]\(#,##0\)" sourceLinked="0"/>
        <c:majorTickMark val="in"/>
        <c:minorTickMark val="none"/>
        <c:tickLblPos val="nextTo"/>
        <c:spPr>
          <a:ln>
            <a:solidFill>
              <a:schemeClr val="tx1"/>
            </a:solidFill>
          </a:ln>
        </c:spPr>
        <c:txPr>
          <a:bodyPr/>
          <a:lstStyle/>
          <a:p>
            <a:pPr algn="ctr" rtl="0">
              <a:defRPr/>
            </a:pPr>
            <a:endParaRPr lang="ja-JP"/>
          </a:p>
        </c:txPr>
        <c:crossAx val="140513280"/>
        <c:crosses val="autoZero"/>
        <c:crossBetween val="between"/>
        <c:majorUnit val="20"/>
      </c:valAx>
      <c:spPr>
        <a:ln>
          <a:solidFill>
            <a:schemeClr val="tx1"/>
          </a:solidFill>
        </a:ln>
      </c:spPr>
    </c:plotArea>
    <c:legend>
      <c:legendPos val="b"/>
      <c:layout>
        <c:manualLayout>
          <c:xMode val="edge"/>
          <c:yMode val="edge"/>
          <c:x val="0.73111111111111104"/>
          <c:y val="0.65335726495726498"/>
          <c:w val="0.19905092592592591"/>
          <c:h val="0.14101613586961426"/>
        </c:manualLayout>
      </c:layout>
      <c:overlay val="0"/>
      <c:spPr>
        <a:solidFill>
          <a:schemeClr val="bg1"/>
        </a:solidFill>
        <a:ln w="3175">
          <a:solidFill>
            <a:schemeClr val="tx1"/>
          </a:solidFill>
        </a:ln>
      </c:spPr>
      <c:txPr>
        <a:bodyPr/>
        <a:lstStyle/>
        <a:p>
          <a:pPr algn="l" rtl="0">
            <a:defRPr/>
          </a:pPr>
          <a:endParaRPr lang="ja-JP"/>
        </a:p>
      </c:txPr>
    </c:legend>
    <c:plotVisOnly val="1"/>
    <c:dispBlanksAs val="gap"/>
    <c:showDLblsOverMax val="0"/>
  </c:chart>
  <c:txPr>
    <a:bodyPr horzOverflow="overflow" anchor="ctr" anchorCtr="1"/>
    <a:lstStyle/>
    <a:p>
      <a:pPr algn="ctr" rtl="0">
        <a:defRPr lang="ja-JP" altLang="en-US" sz="700">
          <a:solidFill>
            <a:schemeClr val="tx1"/>
          </a:solidFill>
          <a:latin typeface="+mj-ea"/>
          <a:ea typeface="+mj-ea"/>
        </a:defRPr>
      </a:pPr>
      <a:endParaRPr lang="ja-JP"/>
    </a:p>
  </c:txPr>
  <c:externalData r:id="rId1">
    <c:autoUpdate val="0"/>
  </c:externalData>
  <c:userShapes r:id="rId2"/>
  <c:extLst/>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a:pPr>
            <a:r>
              <a:rPr lang="ja-JP"/>
              <a:t>図１</a:t>
            </a:r>
            <a:r>
              <a:rPr lang="ja-JP" altLang="en-US"/>
              <a:t>６</a:t>
            </a:r>
            <a:r>
              <a:rPr lang="ja-JP"/>
              <a:t>－２　年齢階級別土地の所有率－全国、秋田県（平成30年）</a:t>
            </a:r>
          </a:p>
        </c:rich>
      </c:tx>
      <c:overlay val="0"/>
    </c:title>
    <c:autoTitleDeleted val="0"/>
    <c:plotArea>
      <c:layout>
        <c:manualLayout>
          <c:layoutTarget val="inner"/>
          <c:xMode val="edge"/>
          <c:yMode val="edge"/>
          <c:x val="7.4169212962962958E-2"/>
          <c:y val="0.13563073134376719"/>
          <c:w val="0.89349282407407393"/>
          <c:h val="0.71162560441261713"/>
        </c:manualLayout>
      </c:layout>
      <c:lineChart>
        <c:grouping val="standard"/>
        <c:varyColors val="0"/>
        <c:ser>
          <c:idx val="0"/>
          <c:order val="0"/>
          <c:tx>
            <c:strRef>
              <c:f>'所有率（年齢階級別）'!$B$79</c:f>
              <c:strCache>
                <c:ptCount val="1"/>
                <c:pt idx="0">
                  <c:v>全国</c:v>
                </c:pt>
              </c:strCache>
            </c:strRef>
          </c:tx>
          <c:spPr>
            <a:ln w="19050">
              <a:solidFill>
                <a:schemeClr val="tx1"/>
              </a:solidFill>
              <a:prstDash val="sysDash"/>
            </a:ln>
          </c:spPr>
          <c:marker>
            <c:symbol val="square"/>
            <c:size val="5"/>
            <c:spPr>
              <a:solidFill>
                <a:schemeClr val="tx1"/>
              </a:solidFill>
              <a:ln>
                <a:solidFill>
                  <a:schemeClr val="accent5"/>
                </a:solidFill>
              </a:ln>
            </c:spPr>
          </c:marker>
          <c:cat>
            <c:strRef>
              <c:f>'所有率（年齢階級別）'!$A$80:$A$93</c:f>
              <c:strCache>
                <c:ptCount val="14"/>
                <c:pt idx="0">
                  <c:v>25歳
未満</c:v>
                </c:pt>
                <c:pt idx="1">
                  <c:v>25～
 29歳</c:v>
                </c:pt>
                <c:pt idx="2">
                  <c:v>30～
 34歳</c:v>
                </c:pt>
                <c:pt idx="3">
                  <c:v>35～
 39歳</c:v>
                </c:pt>
                <c:pt idx="4">
                  <c:v>40～
 44歳</c:v>
                </c:pt>
                <c:pt idx="5">
                  <c:v>45～
 49歳</c:v>
                </c:pt>
                <c:pt idx="6">
                  <c:v>50～
 54歳</c:v>
                </c:pt>
                <c:pt idx="7">
                  <c:v>55～
 59歳</c:v>
                </c:pt>
                <c:pt idx="8">
                  <c:v>60～
 64歳</c:v>
                </c:pt>
                <c:pt idx="9">
                  <c:v>65～
 69歳</c:v>
                </c:pt>
                <c:pt idx="10">
                  <c:v>70～
 74歳</c:v>
                </c:pt>
                <c:pt idx="11">
                  <c:v>75～
 79歳</c:v>
                </c:pt>
                <c:pt idx="12">
                  <c:v>80～
 84歳</c:v>
                </c:pt>
                <c:pt idx="13">
                  <c:v>85歳
以上</c:v>
                </c:pt>
              </c:strCache>
            </c:strRef>
          </c:cat>
          <c:val>
            <c:numRef>
              <c:f>'所有率（年齢階級別）'!$B$80:$B$93</c:f>
              <c:numCache>
                <c:formatCode>0.0</c:formatCode>
                <c:ptCount val="14"/>
                <c:pt idx="0">
                  <c:v>1.5</c:v>
                </c:pt>
                <c:pt idx="1">
                  <c:v>6.6</c:v>
                </c:pt>
                <c:pt idx="2">
                  <c:v>20.100000000000001</c:v>
                </c:pt>
                <c:pt idx="3">
                  <c:v>35.1</c:v>
                </c:pt>
                <c:pt idx="4">
                  <c:v>44.9</c:v>
                </c:pt>
                <c:pt idx="5">
                  <c:v>48.7</c:v>
                </c:pt>
                <c:pt idx="6">
                  <c:v>53.5</c:v>
                </c:pt>
                <c:pt idx="7">
                  <c:v>60</c:v>
                </c:pt>
                <c:pt idx="8">
                  <c:v>65.599999999999994</c:v>
                </c:pt>
                <c:pt idx="9">
                  <c:v>68.2</c:v>
                </c:pt>
                <c:pt idx="10">
                  <c:v>69.400000000000006</c:v>
                </c:pt>
                <c:pt idx="11">
                  <c:v>69.7</c:v>
                </c:pt>
                <c:pt idx="12" formatCode="General">
                  <c:v>68.099999999999994</c:v>
                </c:pt>
                <c:pt idx="13" formatCode="General">
                  <c:v>67.900000000000006</c:v>
                </c:pt>
              </c:numCache>
            </c:numRef>
          </c:val>
          <c:smooth val="0"/>
          <c:extLst>
            <c:ext xmlns:c16="http://schemas.microsoft.com/office/drawing/2014/chart" uri="{C3380CC4-5D6E-409C-BE32-E72D297353CC}">
              <c16:uniqueId val="{00000000-5F7A-4062-9796-81A06BC79641}"/>
            </c:ext>
          </c:extLst>
        </c:ser>
        <c:ser>
          <c:idx val="1"/>
          <c:order val="1"/>
          <c:tx>
            <c:strRef>
              <c:f>'所有率（年齢階級別）'!$C$79</c:f>
              <c:strCache>
                <c:ptCount val="1"/>
                <c:pt idx="0">
                  <c:v>秋田県</c:v>
                </c:pt>
              </c:strCache>
            </c:strRef>
          </c:tx>
          <c:spPr>
            <a:ln w="19050">
              <a:solidFill>
                <a:schemeClr val="tx1"/>
              </a:solidFill>
              <a:prstDash val="solid"/>
            </a:ln>
          </c:spPr>
          <c:marker>
            <c:symbol val="diamond"/>
            <c:size val="6"/>
            <c:spPr>
              <a:solidFill>
                <a:schemeClr val="tx1"/>
              </a:solidFill>
              <a:ln>
                <a:solidFill>
                  <a:schemeClr val="accent5"/>
                </a:solidFill>
              </a:ln>
            </c:spPr>
          </c:marker>
          <c:cat>
            <c:strRef>
              <c:f>'所有率（年齢階級別）'!$A$80:$A$93</c:f>
              <c:strCache>
                <c:ptCount val="14"/>
                <c:pt idx="0">
                  <c:v>25歳
未満</c:v>
                </c:pt>
                <c:pt idx="1">
                  <c:v>25～
 29歳</c:v>
                </c:pt>
                <c:pt idx="2">
                  <c:v>30～
 34歳</c:v>
                </c:pt>
                <c:pt idx="3">
                  <c:v>35～
 39歳</c:v>
                </c:pt>
                <c:pt idx="4">
                  <c:v>40～
 44歳</c:v>
                </c:pt>
                <c:pt idx="5">
                  <c:v>45～
 49歳</c:v>
                </c:pt>
                <c:pt idx="6">
                  <c:v>50～
 54歳</c:v>
                </c:pt>
                <c:pt idx="7">
                  <c:v>55～
 59歳</c:v>
                </c:pt>
                <c:pt idx="8">
                  <c:v>60～
 64歳</c:v>
                </c:pt>
                <c:pt idx="9">
                  <c:v>65～
 69歳</c:v>
                </c:pt>
                <c:pt idx="10">
                  <c:v>70～
 74歳</c:v>
                </c:pt>
                <c:pt idx="11">
                  <c:v>75～
 79歳</c:v>
                </c:pt>
                <c:pt idx="12">
                  <c:v>80～
 84歳</c:v>
                </c:pt>
                <c:pt idx="13">
                  <c:v>85歳
以上</c:v>
                </c:pt>
              </c:strCache>
            </c:strRef>
          </c:cat>
          <c:val>
            <c:numRef>
              <c:f>'所有率（年齢階級別）'!$C$80:$C$93</c:f>
              <c:numCache>
                <c:formatCode>0.0</c:formatCode>
                <c:ptCount val="14"/>
                <c:pt idx="0">
                  <c:v>0</c:v>
                </c:pt>
                <c:pt idx="1">
                  <c:v>10</c:v>
                </c:pt>
                <c:pt idx="2">
                  <c:v>30.76923076923077</c:v>
                </c:pt>
                <c:pt idx="3">
                  <c:v>44.444444444444443</c:v>
                </c:pt>
                <c:pt idx="4">
                  <c:v>60</c:v>
                </c:pt>
                <c:pt idx="5">
                  <c:v>65.517241379310349</c:v>
                </c:pt>
                <c:pt idx="6">
                  <c:v>66.666666666666657</c:v>
                </c:pt>
                <c:pt idx="7">
                  <c:v>77.777777777777786</c:v>
                </c:pt>
                <c:pt idx="8">
                  <c:v>85</c:v>
                </c:pt>
                <c:pt idx="9">
                  <c:v>82.35294117647058</c:v>
                </c:pt>
                <c:pt idx="10">
                  <c:v>86.842105263157904</c:v>
                </c:pt>
                <c:pt idx="11">
                  <c:v>82.758620689655174</c:v>
                </c:pt>
                <c:pt idx="12">
                  <c:v>82.142857142857139</c:v>
                </c:pt>
                <c:pt idx="13">
                  <c:v>85</c:v>
                </c:pt>
              </c:numCache>
            </c:numRef>
          </c:val>
          <c:smooth val="0"/>
          <c:extLst>
            <c:ext xmlns:c16="http://schemas.microsoft.com/office/drawing/2014/chart" uri="{C3380CC4-5D6E-409C-BE32-E72D297353CC}">
              <c16:uniqueId val="{00000001-5F7A-4062-9796-81A06BC79641}"/>
            </c:ext>
          </c:extLst>
        </c:ser>
        <c:dLbls>
          <c:showLegendKey val="0"/>
          <c:showVal val="0"/>
          <c:showCatName val="0"/>
          <c:showSerName val="0"/>
          <c:showPercent val="0"/>
          <c:showBubbleSize val="0"/>
        </c:dLbls>
        <c:marker val="1"/>
        <c:smooth val="0"/>
        <c:axId val="140540544"/>
        <c:axId val="140563200"/>
      </c:lineChart>
      <c:catAx>
        <c:axId val="140540544"/>
        <c:scaling>
          <c:orientation val="minMax"/>
        </c:scaling>
        <c:delete val="0"/>
        <c:axPos val="b"/>
        <c:numFmt formatCode="General" sourceLinked="1"/>
        <c:majorTickMark val="in"/>
        <c:minorTickMark val="none"/>
        <c:tickLblPos val="nextTo"/>
        <c:spPr>
          <a:ln>
            <a:solidFill>
              <a:schemeClr val="tx1"/>
            </a:solidFill>
          </a:ln>
        </c:spPr>
        <c:txPr>
          <a:bodyPr rot="0"/>
          <a:lstStyle/>
          <a:p>
            <a:pPr algn="ctr" rtl="0">
              <a:defRPr/>
            </a:pPr>
            <a:endParaRPr lang="ja-JP"/>
          </a:p>
        </c:txPr>
        <c:crossAx val="140563200"/>
        <c:crosses val="autoZero"/>
        <c:auto val="1"/>
        <c:lblAlgn val="ctr"/>
        <c:lblOffset val="100"/>
        <c:noMultiLvlLbl val="0"/>
      </c:catAx>
      <c:valAx>
        <c:axId val="140563200"/>
        <c:scaling>
          <c:orientation val="minMax"/>
        </c:scaling>
        <c:delete val="0"/>
        <c:axPos val="l"/>
        <c:majorGridlines>
          <c:spPr>
            <a:ln>
              <a:prstDash val="sysDash"/>
            </a:ln>
          </c:spPr>
        </c:majorGridlines>
        <c:numFmt formatCode="#,##0_);[Red]\(#,##0\)" sourceLinked="0"/>
        <c:majorTickMark val="in"/>
        <c:minorTickMark val="none"/>
        <c:tickLblPos val="nextTo"/>
        <c:spPr>
          <a:ln>
            <a:solidFill>
              <a:schemeClr val="tx1"/>
            </a:solidFill>
          </a:ln>
        </c:spPr>
        <c:txPr>
          <a:bodyPr/>
          <a:lstStyle/>
          <a:p>
            <a:pPr algn="ctr" rtl="0">
              <a:defRPr/>
            </a:pPr>
            <a:endParaRPr lang="ja-JP"/>
          </a:p>
        </c:txPr>
        <c:crossAx val="140540544"/>
        <c:crosses val="autoZero"/>
        <c:crossBetween val="between"/>
        <c:majorUnit val="20"/>
      </c:valAx>
      <c:spPr>
        <a:ln>
          <a:solidFill>
            <a:schemeClr val="tx1"/>
          </a:solidFill>
        </a:ln>
      </c:spPr>
    </c:plotArea>
    <c:legend>
      <c:legendPos val="b"/>
      <c:layout>
        <c:manualLayout>
          <c:xMode val="edge"/>
          <c:yMode val="edge"/>
          <c:x val="0.72817129629629629"/>
          <c:y val="0.6750666666666667"/>
          <c:w val="0.2019907407407408"/>
          <c:h val="0.14101613586961426"/>
        </c:manualLayout>
      </c:layout>
      <c:overlay val="0"/>
      <c:spPr>
        <a:solidFill>
          <a:schemeClr val="bg1"/>
        </a:solidFill>
        <a:ln w="3175">
          <a:solidFill>
            <a:schemeClr val="tx1"/>
          </a:solidFill>
        </a:ln>
      </c:spPr>
      <c:txPr>
        <a:bodyPr/>
        <a:lstStyle/>
        <a:p>
          <a:pPr algn="l" rtl="0">
            <a:defRPr/>
          </a:pPr>
          <a:endParaRPr lang="ja-JP"/>
        </a:p>
      </c:txPr>
    </c:legend>
    <c:plotVisOnly val="1"/>
    <c:dispBlanksAs val="gap"/>
    <c:showDLblsOverMax val="0"/>
  </c:chart>
  <c:txPr>
    <a:bodyPr horzOverflow="overflow" anchor="ctr" anchorCtr="1"/>
    <a:lstStyle/>
    <a:p>
      <a:pPr algn="ctr" rtl="0">
        <a:defRPr lang="ja-JP" altLang="en-US" sz="700">
          <a:solidFill>
            <a:schemeClr val="tx1"/>
          </a:solidFill>
          <a:latin typeface="+mj-ea"/>
          <a:ea typeface="+mj-ea"/>
        </a:defRPr>
      </a:pPr>
      <a:endParaRPr lang="ja-JP"/>
    </a:p>
  </c:txPr>
  <c:externalData r:id="rId1">
    <c:autoUpdate val="0"/>
  </c:externalData>
  <c:userShapes r:id="rId2"/>
  <c:extLst/>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a:pPr>
            <a:r>
              <a:rPr lang="ja-JP"/>
              <a:t>図</a:t>
            </a:r>
            <a:r>
              <a:rPr lang="ja-JP" altLang="en-US"/>
              <a:t>１７</a:t>
            </a:r>
            <a:r>
              <a:rPr lang="ja-JP"/>
              <a:t>－１　従業上の地位別住宅の所有率－全国、秋田県（平成30年）</a:t>
            </a:r>
          </a:p>
        </c:rich>
      </c:tx>
      <c:overlay val="0"/>
    </c:title>
    <c:autoTitleDeleted val="0"/>
    <c:plotArea>
      <c:layout>
        <c:manualLayout>
          <c:layoutTarget val="inner"/>
          <c:xMode val="edge"/>
          <c:yMode val="edge"/>
          <c:x val="0.17526543816220563"/>
          <c:y val="0.12486701388888888"/>
          <c:w val="0.77760923993155606"/>
          <c:h val="0.7749100694444444"/>
        </c:manualLayout>
      </c:layout>
      <c:barChart>
        <c:barDir val="bar"/>
        <c:grouping val="clustered"/>
        <c:varyColors val="0"/>
        <c:ser>
          <c:idx val="0"/>
          <c:order val="0"/>
          <c:tx>
            <c:strRef>
              <c:f>'所有率（従業上の地位別）'!$B$49</c:f>
              <c:strCache>
                <c:ptCount val="1"/>
                <c:pt idx="0">
                  <c:v>全国</c:v>
                </c:pt>
              </c:strCache>
            </c:strRef>
          </c:tx>
          <c:spPr>
            <a:pattFill prst="pct20">
              <a:fgClr>
                <a:schemeClr val="accent5"/>
              </a:fgClr>
              <a:bgClr>
                <a:schemeClr val="bg1"/>
              </a:bgClr>
            </a:pattFill>
            <a:ln w="2540">
              <a:solidFill>
                <a:schemeClr val="tx1"/>
              </a:solidFill>
            </a:ln>
          </c:spPr>
          <c:invertIfNegative val="0"/>
          <c:dPt>
            <c:idx val="0"/>
            <c:invertIfNegative val="0"/>
            <c:bubble3D val="0"/>
            <c:extLst>
              <c:ext xmlns:c16="http://schemas.microsoft.com/office/drawing/2014/chart" uri="{C3380CC4-5D6E-409C-BE32-E72D297353CC}">
                <c16:uniqueId val="{00000000-0382-4751-B7D6-2B06FFDE108D}"/>
              </c:ext>
            </c:extLst>
          </c:dPt>
          <c:dPt>
            <c:idx val="1"/>
            <c:invertIfNegative val="0"/>
            <c:bubble3D val="0"/>
            <c:extLst>
              <c:ext xmlns:c16="http://schemas.microsoft.com/office/drawing/2014/chart" uri="{C3380CC4-5D6E-409C-BE32-E72D297353CC}">
                <c16:uniqueId val="{00000001-0382-4751-B7D6-2B06FFDE108D}"/>
              </c:ext>
            </c:extLst>
          </c:dPt>
          <c:dPt>
            <c:idx val="2"/>
            <c:invertIfNegative val="0"/>
            <c:bubble3D val="0"/>
            <c:extLst>
              <c:ext xmlns:c16="http://schemas.microsoft.com/office/drawing/2014/chart" uri="{C3380CC4-5D6E-409C-BE32-E72D297353CC}">
                <c16:uniqueId val="{00000002-0382-4751-B7D6-2B06FFDE108D}"/>
              </c:ext>
            </c:extLst>
          </c:dPt>
          <c:dPt>
            <c:idx val="3"/>
            <c:invertIfNegative val="0"/>
            <c:bubble3D val="0"/>
            <c:extLst>
              <c:ext xmlns:c16="http://schemas.microsoft.com/office/drawing/2014/chart" uri="{C3380CC4-5D6E-409C-BE32-E72D297353CC}">
                <c16:uniqueId val="{00000003-0382-4751-B7D6-2B06FFDE108D}"/>
              </c:ext>
            </c:extLst>
          </c:dPt>
          <c:dPt>
            <c:idx val="4"/>
            <c:invertIfNegative val="0"/>
            <c:bubble3D val="0"/>
            <c:extLst>
              <c:ext xmlns:c16="http://schemas.microsoft.com/office/drawing/2014/chart" uri="{C3380CC4-5D6E-409C-BE32-E72D297353CC}">
                <c16:uniqueId val="{00000004-0382-4751-B7D6-2B06FFDE108D}"/>
              </c:ext>
            </c:extLst>
          </c:dPt>
          <c:dPt>
            <c:idx val="5"/>
            <c:invertIfNegative val="0"/>
            <c:bubble3D val="0"/>
            <c:extLst>
              <c:ext xmlns:c16="http://schemas.microsoft.com/office/drawing/2014/chart" uri="{C3380CC4-5D6E-409C-BE32-E72D297353CC}">
                <c16:uniqueId val="{00000005-0382-4751-B7D6-2B06FFDE108D}"/>
              </c:ext>
            </c:extLst>
          </c:dPt>
          <c:dPt>
            <c:idx val="7"/>
            <c:invertIfNegative val="0"/>
            <c:bubble3D val="0"/>
            <c:extLst>
              <c:ext xmlns:c16="http://schemas.microsoft.com/office/drawing/2014/chart" uri="{C3380CC4-5D6E-409C-BE32-E72D297353CC}">
                <c16:uniqueId val="{00000006-0382-4751-B7D6-2B06FFDE108D}"/>
              </c:ext>
            </c:extLst>
          </c:dPt>
          <c:dLbls>
            <c:dLbl>
              <c:idx val="0"/>
              <c:layout>
                <c:manualLayout>
                  <c:x val="-1.1709501629068293E-2"/>
                  <c:y val="5.7196747655049686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82-4751-B7D6-2B06FFDE108D}"/>
                </c:ext>
              </c:extLst>
            </c:dLbl>
            <c:dLbl>
              <c:idx val="1"/>
              <c:layout>
                <c:manualLayout>
                  <c:x val="0"/>
                  <c:y val="1.4894444444444445E-2"/>
                </c:manualLayout>
              </c:layout>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82-4751-B7D6-2B06FFDE108D}"/>
                </c:ext>
              </c:extLst>
            </c:dLbl>
            <c:dLbl>
              <c:idx val="2"/>
              <c:layout>
                <c:manualLayout>
                  <c:x val="0"/>
                  <c:y val="1.6267361111111111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82-4751-B7D6-2B06FFDE108D}"/>
                </c:ext>
              </c:extLst>
            </c:dLbl>
            <c:dLbl>
              <c:idx val="3"/>
              <c:layout>
                <c:manualLayout>
                  <c:x val="0"/>
                  <c:y val="1.7639236111111112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82-4751-B7D6-2B06FFDE108D}"/>
                </c:ext>
              </c:extLst>
            </c:dLbl>
            <c:dLbl>
              <c:idx val="4"/>
              <c:layout>
                <c:manualLayout>
                  <c:x val="2.2972222222222222E-3"/>
                  <c:y val="1.0485416666666667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82-4751-B7D6-2B06FFDE108D}"/>
                </c:ext>
              </c:extLst>
            </c:dLbl>
            <c:dLbl>
              <c:idx val="5"/>
              <c:layout>
                <c:manualLayout>
                  <c:x val="0"/>
                  <c:y val="1.2873302505158253E-2"/>
                </c:manualLayout>
              </c:layout>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82-4751-B7D6-2B06FFDE108D}"/>
                </c:ext>
              </c:extLst>
            </c:dLbl>
            <c:dLbl>
              <c:idx val="7"/>
              <c:layout>
                <c:manualLayout>
                  <c:x val="-2.2972855838136459E-3"/>
                  <c:y val="1.7640277777777779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82-4751-B7D6-2B06FFDE108D}"/>
                </c:ext>
              </c:extLst>
            </c:dLbl>
            <c:spPr>
              <a:no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'所有率（従業上の地位別）'!$A$50:$A$57</c:f>
              <c:strCache>
                <c:ptCount val="8"/>
                <c:pt idx="0">
                  <c:v>農林・漁業主</c:v>
                </c:pt>
                <c:pt idx="1">
                  <c:v>商工・その他の業主</c:v>
                </c:pt>
                <c:pt idx="2">
                  <c:v>会社・団体・公社又は
個人に雇われている者</c:v>
                </c:pt>
                <c:pt idx="3">
                  <c:v>官公庁</c:v>
                </c:pt>
                <c:pt idx="4">
                  <c:v>労働者派遣事業所
の派遣社員</c:v>
                </c:pt>
                <c:pt idx="5">
                  <c:v>パート・アルバイト
・その他</c:v>
                </c:pt>
                <c:pt idx="6">
                  <c:v>学生</c:v>
                </c:pt>
                <c:pt idx="7">
                  <c:v>その他</c:v>
                </c:pt>
              </c:strCache>
            </c:strRef>
          </c:cat>
          <c:val>
            <c:numRef>
              <c:f>'所有率（従業上の地位別）'!$B$50:$B$57</c:f>
              <c:numCache>
                <c:formatCode>General</c:formatCode>
                <c:ptCount val="8"/>
                <c:pt idx="0">
                  <c:v>94.3</c:v>
                </c:pt>
                <c:pt idx="1">
                  <c:v>75.900000000000006</c:v>
                </c:pt>
                <c:pt idx="2">
                  <c:v>58.3</c:v>
                </c:pt>
                <c:pt idx="3">
                  <c:v>61.4</c:v>
                </c:pt>
                <c:pt idx="4">
                  <c:v>41.6</c:v>
                </c:pt>
                <c:pt idx="5">
                  <c:v>55.1</c:v>
                </c:pt>
                <c:pt idx="6">
                  <c:v>4.9000000000000004</c:v>
                </c:pt>
                <c:pt idx="7">
                  <c:v>75</c:v>
                </c:pt>
              </c:numCache>
            </c:numRef>
          </c:val>
          <c:extLst>
            <c:ext xmlns:c16="http://schemas.microsoft.com/office/drawing/2014/chart" uri="{C3380CC4-5D6E-409C-BE32-E72D297353CC}">
              <c16:uniqueId val="{00000007-0382-4751-B7D6-2B06FFDE108D}"/>
            </c:ext>
          </c:extLst>
        </c:ser>
        <c:ser>
          <c:idx val="1"/>
          <c:order val="1"/>
          <c:tx>
            <c:strRef>
              <c:f>'所有率（従業上の地位別）'!$C$49</c:f>
              <c:strCache>
                <c:ptCount val="1"/>
                <c:pt idx="0">
                  <c:v>秋田県</c:v>
                </c:pt>
              </c:strCache>
            </c:strRef>
          </c:tx>
          <c:spPr>
            <a:pattFill prst="pct60">
              <a:fgClr>
                <a:schemeClr val="accent5"/>
              </a:fgClr>
              <a:bgClr>
                <a:schemeClr val="bg1"/>
              </a:bgClr>
            </a:pattFill>
            <a:ln w="2540">
              <a:solidFill>
                <a:schemeClr val="tx1"/>
              </a:solidFill>
            </a:ln>
          </c:spPr>
          <c:invertIfNegative val="0"/>
          <c:dPt>
            <c:idx val="0"/>
            <c:invertIfNegative val="0"/>
            <c:bubble3D val="0"/>
            <c:extLst>
              <c:ext xmlns:c16="http://schemas.microsoft.com/office/drawing/2014/chart" uri="{C3380CC4-5D6E-409C-BE32-E72D297353CC}">
                <c16:uniqueId val="{00000008-0382-4751-B7D6-2B06FFDE108D}"/>
              </c:ext>
            </c:extLst>
          </c:dPt>
          <c:dPt>
            <c:idx val="1"/>
            <c:invertIfNegative val="0"/>
            <c:bubble3D val="0"/>
            <c:extLst>
              <c:ext xmlns:c16="http://schemas.microsoft.com/office/drawing/2014/chart" uri="{C3380CC4-5D6E-409C-BE32-E72D297353CC}">
                <c16:uniqueId val="{00000009-0382-4751-B7D6-2B06FFDE108D}"/>
              </c:ext>
            </c:extLst>
          </c:dPt>
          <c:dPt>
            <c:idx val="2"/>
            <c:invertIfNegative val="0"/>
            <c:bubble3D val="0"/>
            <c:extLst>
              <c:ext xmlns:c16="http://schemas.microsoft.com/office/drawing/2014/chart" uri="{C3380CC4-5D6E-409C-BE32-E72D297353CC}">
                <c16:uniqueId val="{0000000A-0382-4751-B7D6-2B06FFDE108D}"/>
              </c:ext>
            </c:extLst>
          </c:dPt>
          <c:dPt>
            <c:idx val="3"/>
            <c:invertIfNegative val="0"/>
            <c:bubble3D val="0"/>
            <c:extLst>
              <c:ext xmlns:c16="http://schemas.microsoft.com/office/drawing/2014/chart" uri="{C3380CC4-5D6E-409C-BE32-E72D297353CC}">
                <c16:uniqueId val="{0000000B-0382-4751-B7D6-2B06FFDE108D}"/>
              </c:ext>
            </c:extLst>
          </c:dPt>
          <c:dPt>
            <c:idx val="5"/>
            <c:invertIfNegative val="0"/>
            <c:bubble3D val="0"/>
            <c:extLst>
              <c:ext xmlns:c16="http://schemas.microsoft.com/office/drawing/2014/chart" uri="{C3380CC4-5D6E-409C-BE32-E72D297353CC}">
                <c16:uniqueId val="{0000000C-0382-4751-B7D6-2B06FFDE108D}"/>
              </c:ext>
            </c:extLst>
          </c:dPt>
          <c:dPt>
            <c:idx val="6"/>
            <c:invertIfNegative val="0"/>
            <c:bubble3D val="0"/>
            <c:extLst>
              <c:ext xmlns:c16="http://schemas.microsoft.com/office/drawing/2014/chart" uri="{C3380CC4-5D6E-409C-BE32-E72D297353CC}">
                <c16:uniqueId val="{0000000D-0382-4751-B7D6-2B06FFDE108D}"/>
              </c:ext>
            </c:extLst>
          </c:dPt>
          <c:dPt>
            <c:idx val="7"/>
            <c:invertIfNegative val="0"/>
            <c:bubble3D val="0"/>
            <c:extLst>
              <c:ext xmlns:c16="http://schemas.microsoft.com/office/drawing/2014/chart" uri="{C3380CC4-5D6E-409C-BE32-E72D297353CC}">
                <c16:uniqueId val="{0000000E-0382-4751-B7D6-2B06FFDE108D}"/>
              </c:ext>
            </c:extLst>
          </c:dPt>
          <c:dLbls>
            <c:dLbl>
              <c:idx val="0"/>
              <c:layout>
                <c:manualLayout>
                  <c:x val="-2.8182705433729822E-2"/>
                  <c:y val="-4.8014720065809473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382-4751-B7D6-2B06FFDE108D}"/>
                </c:ext>
              </c:extLst>
            </c:dLbl>
            <c:dLbl>
              <c:idx val="1"/>
              <c:layout>
                <c:manualLayout>
                  <c:x val="4.5943995354953537E-3"/>
                  <c:y val="-6.0741723913212446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82-4751-B7D6-2B06FFDE108D}"/>
                </c:ext>
              </c:extLst>
            </c:dLbl>
            <c:dLbl>
              <c:idx val="2"/>
              <c:layout>
                <c:manualLayout>
                  <c:x val="2.2971997677476768E-3"/>
                  <c:y val="-3.0369666206302801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382-4751-B7D6-2B06FFDE108D}"/>
                </c:ext>
              </c:extLst>
            </c:dLbl>
            <c:dLbl>
              <c:idx val="3"/>
              <c:layout>
                <c:manualLayout>
                  <c:x val="4.5943995354953537E-3"/>
                  <c:y val="-6.0744115413819844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382-4751-B7D6-2B06FFDE108D}"/>
                </c:ext>
              </c:extLst>
            </c:dLbl>
            <c:dLbl>
              <c:idx val="5"/>
              <c:layout>
                <c:manualLayout>
                  <c:x val="9.1887990709907073E-3"/>
                  <c:y val="-3.0369666206302801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382-4751-B7D6-2B06FFDE108D}"/>
                </c:ext>
              </c:extLst>
            </c:dLbl>
            <c:dLbl>
              <c:idx val="6"/>
              <c:layout>
                <c:manualLayout>
                  <c:x val="0"/>
                  <c:y val="-1.3229166666666667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382-4751-B7D6-2B06FFDE108D}"/>
                </c:ext>
              </c:extLst>
            </c:dLbl>
            <c:dLbl>
              <c:idx val="7"/>
              <c:layout>
                <c:manualLayout>
                  <c:x val="-2.2971997677476768E-3"/>
                  <c:y val="-3.0364883205089115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382-4751-B7D6-2B06FFDE108D}"/>
                </c:ext>
              </c:extLst>
            </c:dLbl>
            <c:spPr>
              <a:no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'所有率（従業上の地位別）'!$A$50:$A$57</c:f>
              <c:strCache>
                <c:ptCount val="8"/>
                <c:pt idx="0">
                  <c:v>農林・漁業主</c:v>
                </c:pt>
                <c:pt idx="1">
                  <c:v>商工・その他の業主</c:v>
                </c:pt>
                <c:pt idx="2">
                  <c:v>会社・団体・公社又は
個人に雇われている者</c:v>
                </c:pt>
                <c:pt idx="3">
                  <c:v>官公庁</c:v>
                </c:pt>
                <c:pt idx="4">
                  <c:v>労働者派遣事業所
の派遣社員</c:v>
                </c:pt>
                <c:pt idx="5">
                  <c:v>パート・アルバイト
・その他</c:v>
                </c:pt>
                <c:pt idx="6">
                  <c:v>学生</c:v>
                </c:pt>
                <c:pt idx="7">
                  <c:v>その他</c:v>
                </c:pt>
              </c:strCache>
            </c:strRef>
          </c:cat>
          <c:val>
            <c:numRef>
              <c:f>'所有率（従業上の地位別）'!$C$50:$C$57</c:f>
              <c:numCache>
                <c:formatCode>\ ###,###,##0.0;"-"###,###,##0.0</c:formatCode>
                <c:ptCount val="8"/>
                <c:pt idx="0">
                  <c:v>95.652173913043484</c:v>
                </c:pt>
                <c:pt idx="1">
                  <c:v>80.769230769230774</c:v>
                </c:pt>
                <c:pt idx="2">
                  <c:v>69.421487603305792</c:v>
                </c:pt>
                <c:pt idx="3">
                  <c:v>59.090909090909093</c:v>
                </c:pt>
                <c:pt idx="4">
                  <c:v>80</c:v>
                </c:pt>
                <c:pt idx="5">
                  <c:v>69.444444444444443</c:v>
                </c:pt>
                <c:pt idx="6">
                  <c:v>0</c:v>
                </c:pt>
                <c:pt idx="7">
                  <c:v>83.177570093457945</c:v>
                </c:pt>
              </c:numCache>
            </c:numRef>
          </c:val>
          <c:extLst>
            <c:ext xmlns:c16="http://schemas.microsoft.com/office/drawing/2014/chart" uri="{C3380CC4-5D6E-409C-BE32-E72D297353CC}">
              <c16:uniqueId val="{0000000F-0382-4751-B7D6-2B06FFDE108D}"/>
            </c:ext>
          </c:extLst>
        </c:ser>
        <c:dLbls>
          <c:showLegendKey val="0"/>
          <c:showVal val="0"/>
          <c:showCatName val="0"/>
          <c:showSerName val="0"/>
          <c:showPercent val="0"/>
          <c:showBubbleSize val="0"/>
        </c:dLbls>
        <c:gapWidth val="75"/>
        <c:axId val="142004992"/>
        <c:axId val="142006528"/>
      </c:barChart>
      <c:catAx>
        <c:axId val="142004992"/>
        <c:scaling>
          <c:orientation val="maxMin"/>
        </c:scaling>
        <c:delete val="0"/>
        <c:axPos val="l"/>
        <c:numFmt formatCode="General" sourceLinked="0"/>
        <c:majorTickMark val="in"/>
        <c:minorTickMark val="none"/>
        <c:tickLblPos val="nextTo"/>
        <c:txPr>
          <a:bodyPr rot="0"/>
          <a:lstStyle/>
          <a:p>
            <a:pPr algn="ctr" rtl="0">
              <a:defRPr sz="600"/>
            </a:pPr>
            <a:endParaRPr lang="ja-JP"/>
          </a:p>
        </c:txPr>
        <c:crossAx val="142006528"/>
        <c:crosses val="autoZero"/>
        <c:auto val="1"/>
        <c:lblAlgn val="ctr"/>
        <c:lblOffset val="100"/>
        <c:noMultiLvlLbl val="0"/>
      </c:catAx>
      <c:valAx>
        <c:axId val="142006528"/>
        <c:scaling>
          <c:orientation val="minMax"/>
          <c:max val="100"/>
        </c:scaling>
        <c:delete val="0"/>
        <c:axPos val="t"/>
        <c:majorGridlines>
          <c:spPr>
            <a:ln>
              <a:prstDash val="sysDash"/>
            </a:ln>
          </c:spPr>
        </c:majorGridlines>
        <c:numFmt formatCode="General\%" sourceLinked="0"/>
        <c:majorTickMark val="in"/>
        <c:minorTickMark val="none"/>
        <c:tickLblPos val="high"/>
        <c:spPr>
          <a:ln>
            <a:solidFill>
              <a:schemeClr val="tx1"/>
            </a:solidFill>
          </a:ln>
        </c:spPr>
        <c:txPr>
          <a:bodyPr/>
          <a:lstStyle/>
          <a:p>
            <a:pPr algn="ctr" rtl="0">
              <a:defRPr/>
            </a:pPr>
            <a:endParaRPr lang="ja-JP"/>
          </a:p>
        </c:txPr>
        <c:crossAx val="142004992"/>
        <c:crosses val="autoZero"/>
        <c:crossBetween val="between"/>
        <c:majorUnit val="20"/>
      </c:valAx>
      <c:spPr>
        <a:ln>
          <a:solidFill>
            <a:schemeClr val="tx1"/>
          </a:solidFill>
        </a:ln>
      </c:spPr>
    </c:plotArea>
    <c:legend>
      <c:legendPos val="b"/>
      <c:layout>
        <c:manualLayout>
          <c:xMode val="edge"/>
          <c:yMode val="edge"/>
          <c:x val="0.84347332931964336"/>
          <c:y val="0.63986979166666669"/>
          <c:w val="0.10363083317363624"/>
          <c:h val="0.11318576388888887"/>
        </c:manualLayout>
      </c:layout>
      <c:overlay val="0"/>
      <c:spPr>
        <a:ln w="3175">
          <a:solidFill>
            <a:schemeClr val="tx1"/>
          </a:solidFill>
        </a:ln>
      </c:spPr>
      <c:txPr>
        <a:bodyPr/>
        <a:lstStyle/>
        <a:p>
          <a:pPr algn="l" rtl="0">
            <a:defRPr/>
          </a:pPr>
          <a:endParaRPr lang="ja-JP"/>
        </a:p>
      </c:txPr>
    </c:legend>
    <c:plotVisOnly val="1"/>
    <c:dispBlanksAs val="gap"/>
    <c:showDLblsOverMax val="0"/>
  </c:chart>
  <c:txPr>
    <a:bodyPr horzOverflow="overflow" anchor="ctr" anchorCtr="1"/>
    <a:lstStyle/>
    <a:p>
      <a:pPr algn="ctr" rtl="0">
        <a:defRPr lang="ja-JP" altLang="en-US" sz="800">
          <a:solidFill>
            <a:schemeClr val="tx1"/>
          </a:solidFill>
          <a:latin typeface="+mj-ea"/>
          <a:ea typeface="+mj-ea"/>
        </a:defRPr>
      </a:pPr>
      <a:endParaRPr lang="ja-JP"/>
    </a:p>
  </c:txPr>
  <c:externalData r:id="rId1">
    <c:autoUpdate val="0"/>
  </c:externalData>
  <c:extLst/>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a:pPr>
            <a:r>
              <a:rPr lang="ja-JP"/>
              <a:t>図１</a:t>
            </a:r>
            <a:r>
              <a:rPr lang="ja-JP" altLang="en-US"/>
              <a:t>７</a:t>
            </a:r>
            <a:r>
              <a:rPr lang="ja-JP"/>
              <a:t>－２　従業上の地位別土地の所有率－全国、秋田県（平成30年）</a:t>
            </a:r>
          </a:p>
        </c:rich>
      </c:tx>
      <c:overlay val="0"/>
    </c:title>
    <c:autoTitleDeleted val="0"/>
    <c:plotArea>
      <c:layout>
        <c:manualLayout>
          <c:layoutTarget val="inner"/>
          <c:xMode val="edge"/>
          <c:yMode val="edge"/>
          <c:x val="0.19819228361038518"/>
          <c:y val="0.12486701388888888"/>
          <c:w val="0.76888208235494548"/>
          <c:h val="0.7749100694444444"/>
        </c:manualLayout>
      </c:layout>
      <c:barChart>
        <c:barDir val="bar"/>
        <c:grouping val="clustered"/>
        <c:varyColors val="0"/>
        <c:ser>
          <c:idx val="0"/>
          <c:order val="0"/>
          <c:tx>
            <c:strRef>
              <c:f>'所有率（従業上の地位別）'!$B$67</c:f>
              <c:strCache>
                <c:ptCount val="1"/>
                <c:pt idx="0">
                  <c:v>全国</c:v>
                </c:pt>
              </c:strCache>
            </c:strRef>
          </c:tx>
          <c:spPr>
            <a:pattFill prst="pct20">
              <a:fgClr>
                <a:schemeClr val="accent5"/>
              </a:fgClr>
              <a:bgClr>
                <a:schemeClr val="bg1"/>
              </a:bgClr>
            </a:pattFill>
            <a:ln w="2540">
              <a:solidFill>
                <a:schemeClr val="tx1"/>
              </a:solidFill>
            </a:ln>
          </c:spPr>
          <c:invertIfNegative val="0"/>
          <c:dPt>
            <c:idx val="0"/>
            <c:invertIfNegative val="0"/>
            <c:bubble3D val="0"/>
            <c:extLst>
              <c:ext xmlns:c16="http://schemas.microsoft.com/office/drawing/2014/chart" uri="{C3380CC4-5D6E-409C-BE32-E72D297353CC}">
                <c16:uniqueId val="{00000000-2A03-4220-8869-F2348CE1C4F9}"/>
              </c:ext>
            </c:extLst>
          </c:dPt>
          <c:dPt>
            <c:idx val="1"/>
            <c:invertIfNegative val="0"/>
            <c:bubble3D val="0"/>
            <c:extLst>
              <c:ext xmlns:c16="http://schemas.microsoft.com/office/drawing/2014/chart" uri="{C3380CC4-5D6E-409C-BE32-E72D297353CC}">
                <c16:uniqueId val="{00000001-2A03-4220-8869-F2348CE1C4F9}"/>
              </c:ext>
            </c:extLst>
          </c:dPt>
          <c:dPt>
            <c:idx val="2"/>
            <c:invertIfNegative val="0"/>
            <c:bubble3D val="0"/>
            <c:extLst>
              <c:ext xmlns:c16="http://schemas.microsoft.com/office/drawing/2014/chart" uri="{C3380CC4-5D6E-409C-BE32-E72D297353CC}">
                <c16:uniqueId val="{00000002-2A03-4220-8869-F2348CE1C4F9}"/>
              </c:ext>
            </c:extLst>
          </c:dPt>
          <c:dPt>
            <c:idx val="3"/>
            <c:invertIfNegative val="0"/>
            <c:bubble3D val="0"/>
            <c:extLst>
              <c:ext xmlns:c16="http://schemas.microsoft.com/office/drawing/2014/chart" uri="{C3380CC4-5D6E-409C-BE32-E72D297353CC}">
                <c16:uniqueId val="{00000003-2A03-4220-8869-F2348CE1C4F9}"/>
              </c:ext>
            </c:extLst>
          </c:dPt>
          <c:dPt>
            <c:idx val="4"/>
            <c:invertIfNegative val="0"/>
            <c:bubble3D val="0"/>
            <c:extLst>
              <c:ext xmlns:c16="http://schemas.microsoft.com/office/drawing/2014/chart" uri="{C3380CC4-5D6E-409C-BE32-E72D297353CC}">
                <c16:uniqueId val="{00000004-2A03-4220-8869-F2348CE1C4F9}"/>
              </c:ext>
            </c:extLst>
          </c:dPt>
          <c:dPt>
            <c:idx val="5"/>
            <c:invertIfNegative val="0"/>
            <c:bubble3D val="0"/>
            <c:extLst>
              <c:ext xmlns:c16="http://schemas.microsoft.com/office/drawing/2014/chart" uri="{C3380CC4-5D6E-409C-BE32-E72D297353CC}">
                <c16:uniqueId val="{00000005-2A03-4220-8869-F2348CE1C4F9}"/>
              </c:ext>
            </c:extLst>
          </c:dPt>
          <c:dPt>
            <c:idx val="7"/>
            <c:invertIfNegative val="0"/>
            <c:bubble3D val="0"/>
            <c:extLst>
              <c:ext xmlns:c16="http://schemas.microsoft.com/office/drawing/2014/chart" uri="{C3380CC4-5D6E-409C-BE32-E72D297353CC}">
                <c16:uniqueId val="{00000006-2A03-4220-8869-F2348CE1C4F9}"/>
              </c:ext>
            </c:extLst>
          </c:dPt>
          <c:dLbls>
            <c:dLbl>
              <c:idx val="0"/>
              <c:layout>
                <c:manualLayout>
                  <c:x val="-2.2962423121188485E-3"/>
                  <c:y val="5.719299483386636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03-4220-8869-F2348CE1C4F9}"/>
                </c:ext>
              </c:extLst>
            </c:dLbl>
            <c:dLbl>
              <c:idx val="1"/>
              <c:layout>
                <c:manualLayout>
                  <c:x val="-4.7066296584747222E-3"/>
                  <c:y val="1.4895322558733527E-2"/>
                </c:manualLayout>
              </c:layout>
              <c:tx>
                <c:rich>
                  <a:bodyPr/>
                  <a:lstStyle/>
                  <a:p>
                    <a:pPr>
                      <a:defRPr/>
                    </a:pPr>
                    <a:r>
                      <a:rPr lang="en-US"/>
                      <a:t>76.0</a:t>
                    </a:r>
                  </a:p>
                </c:rich>
              </c:tx>
              <c:spPr>
                <a:solidFill>
                  <a:schemeClr val="bg1"/>
                </a:solidFill>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A03-4220-8869-F2348CE1C4F9}"/>
                </c:ext>
              </c:extLst>
            </c:dLbl>
            <c:dLbl>
              <c:idx val="2"/>
              <c:layout>
                <c:manualLayout>
                  <c:x val="0"/>
                  <c:y val="1.6267361111111111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03-4220-8869-F2348CE1C4F9}"/>
                </c:ext>
              </c:extLst>
            </c:dLbl>
            <c:dLbl>
              <c:idx val="3"/>
              <c:layout>
                <c:manualLayout>
                  <c:x val="0"/>
                  <c:y val="1.7639236111111112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03-4220-8869-F2348CE1C4F9}"/>
                </c:ext>
              </c:extLst>
            </c:dLbl>
            <c:dLbl>
              <c:idx val="4"/>
              <c:layout>
                <c:manualLayout>
                  <c:x val="2.2972222222222222E-3"/>
                  <c:y val="1.0485416666666667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03-4220-8869-F2348CE1C4F9}"/>
                </c:ext>
              </c:extLst>
            </c:dLbl>
            <c:dLbl>
              <c:idx val="5"/>
              <c:layout>
                <c:manualLayout>
                  <c:x val="0"/>
                  <c:y val="1.2873302505158253E-2"/>
                </c:manualLayout>
              </c:layout>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03-4220-8869-F2348CE1C4F9}"/>
                </c:ext>
              </c:extLst>
            </c:dLbl>
            <c:dLbl>
              <c:idx val="7"/>
              <c:layout>
                <c:manualLayout>
                  <c:x val="-2.2972855838136459E-3"/>
                  <c:y val="1.7640277777777779E-2"/>
                </c:manualLayout>
              </c:layout>
              <c:spPr>
                <a:solidFill>
                  <a:schemeClr val="bg1"/>
                </a:solid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A03-4220-8869-F2348CE1C4F9}"/>
                </c:ext>
              </c:extLst>
            </c:dLbl>
            <c:spPr>
              <a:no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'所有率（従業上の地位別）'!$A$68:$A$75</c:f>
              <c:strCache>
                <c:ptCount val="8"/>
                <c:pt idx="0">
                  <c:v>農林・漁業主</c:v>
                </c:pt>
                <c:pt idx="1">
                  <c:v>商工・その他の業主</c:v>
                </c:pt>
                <c:pt idx="2">
                  <c:v>会社・団体・公社又は
個人に雇われている者</c:v>
                </c:pt>
                <c:pt idx="3">
                  <c:v>官公庁</c:v>
                </c:pt>
                <c:pt idx="4">
                  <c:v>労働者派遣事業所
の派遣社員</c:v>
                </c:pt>
                <c:pt idx="5">
                  <c:v>パート・アルバイト・その他</c:v>
                </c:pt>
                <c:pt idx="6">
                  <c:v>学生</c:v>
                </c:pt>
                <c:pt idx="7">
                  <c:v>その他</c:v>
                </c:pt>
              </c:strCache>
            </c:strRef>
          </c:cat>
          <c:val>
            <c:numRef>
              <c:f>'所有率（従業上の地位別）'!$B$68:$B$75</c:f>
              <c:numCache>
                <c:formatCode>General</c:formatCode>
                <c:ptCount val="8"/>
                <c:pt idx="0" formatCode="0.0">
                  <c:v>92.1</c:v>
                </c:pt>
                <c:pt idx="1">
                  <c:v>76</c:v>
                </c:pt>
                <c:pt idx="2">
                  <c:v>58.9</c:v>
                </c:pt>
                <c:pt idx="3">
                  <c:v>61.4</c:v>
                </c:pt>
                <c:pt idx="4">
                  <c:v>40.299999999999997</c:v>
                </c:pt>
                <c:pt idx="5">
                  <c:v>54.7</c:v>
                </c:pt>
                <c:pt idx="6" formatCode="0.0">
                  <c:v>4.9000000000000004</c:v>
                </c:pt>
                <c:pt idx="7">
                  <c:v>74.7</c:v>
                </c:pt>
              </c:numCache>
            </c:numRef>
          </c:val>
          <c:extLst>
            <c:ext xmlns:c16="http://schemas.microsoft.com/office/drawing/2014/chart" uri="{C3380CC4-5D6E-409C-BE32-E72D297353CC}">
              <c16:uniqueId val="{00000007-2A03-4220-8869-F2348CE1C4F9}"/>
            </c:ext>
          </c:extLst>
        </c:ser>
        <c:ser>
          <c:idx val="1"/>
          <c:order val="1"/>
          <c:tx>
            <c:strRef>
              <c:f>'所有率（従業上の地位別）'!$C$67</c:f>
              <c:strCache>
                <c:ptCount val="1"/>
                <c:pt idx="0">
                  <c:v>秋田県</c:v>
                </c:pt>
              </c:strCache>
            </c:strRef>
          </c:tx>
          <c:spPr>
            <a:pattFill prst="pct60">
              <a:fgClr>
                <a:schemeClr val="accent5"/>
              </a:fgClr>
              <a:bgClr>
                <a:schemeClr val="bg1"/>
              </a:bgClr>
            </a:pattFill>
            <a:ln w="2540">
              <a:solidFill>
                <a:schemeClr val="tx1"/>
              </a:solidFill>
            </a:ln>
          </c:spPr>
          <c:invertIfNegative val="0"/>
          <c:dPt>
            <c:idx val="0"/>
            <c:invertIfNegative val="0"/>
            <c:bubble3D val="0"/>
            <c:extLst>
              <c:ext xmlns:c16="http://schemas.microsoft.com/office/drawing/2014/chart" uri="{C3380CC4-5D6E-409C-BE32-E72D297353CC}">
                <c16:uniqueId val="{00000008-2A03-4220-8869-F2348CE1C4F9}"/>
              </c:ext>
            </c:extLst>
          </c:dPt>
          <c:dPt>
            <c:idx val="1"/>
            <c:invertIfNegative val="0"/>
            <c:bubble3D val="0"/>
            <c:extLst>
              <c:ext xmlns:c16="http://schemas.microsoft.com/office/drawing/2014/chart" uri="{C3380CC4-5D6E-409C-BE32-E72D297353CC}">
                <c16:uniqueId val="{00000009-2A03-4220-8869-F2348CE1C4F9}"/>
              </c:ext>
            </c:extLst>
          </c:dPt>
          <c:dPt>
            <c:idx val="2"/>
            <c:invertIfNegative val="0"/>
            <c:bubble3D val="0"/>
            <c:extLst>
              <c:ext xmlns:c16="http://schemas.microsoft.com/office/drawing/2014/chart" uri="{C3380CC4-5D6E-409C-BE32-E72D297353CC}">
                <c16:uniqueId val="{0000000A-2A03-4220-8869-F2348CE1C4F9}"/>
              </c:ext>
            </c:extLst>
          </c:dPt>
          <c:dPt>
            <c:idx val="3"/>
            <c:invertIfNegative val="0"/>
            <c:bubble3D val="0"/>
            <c:extLst>
              <c:ext xmlns:c16="http://schemas.microsoft.com/office/drawing/2014/chart" uri="{C3380CC4-5D6E-409C-BE32-E72D297353CC}">
                <c16:uniqueId val="{0000000B-2A03-4220-8869-F2348CE1C4F9}"/>
              </c:ext>
            </c:extLst>
          </c:dPt>
          <c:dPt>
            <c:idx val="5"/>
            <c:invertIfNegative val="0"/>
            <c:bubble3D val="0"/>
            <c:extLst>
              <c:ext xmlns:c16="http://schemas.microsoft.com/office/drawing/2014/chart" uri="{C3380CC4-5D6E-409C-BE32-E72D297353CC}">
                <c16:uniqueId val="{0000000C-2A03-4220-8869-F2348CE1C4F9}"/>
              </c:ext>
            </c:extLst>
          </c:dPt>
          <c:dPt>
            <c:idx val="6"/>
            <c:invertIfNegative val="0"/>
            <c:bubble3D val="0"/>
            <c:extLst>
              <c:ext xmlns:c16="http://schemas.microsoft.com/office/drawing/2014/chart" uri="{C3380CC4-5D6E-409C-BE32-E72D297353CC}">
                <c16:uniqueId val="{0000000D-2A03-4220-8869-F2348CE1C4F9}"/>
              </c:ext>
            </c:extLst>
          </c:dPt>
          <c:dPt>
            <c:idx val="7"/>
            <c:invertIfNegative val="0"/>
            <c:bubble3D val="0"/>
            <c:extLst>
              <c:ext xmlns:c16="http://schemas.microsoft.com/office/drawing/2014/chart" uri="{C3380CC4-5D6E-409C-BE32-E72D297353CC}">
                <c16:uniqueId val="{0000000E-2A03-4220-8869-F2348CE1C4F9}"/>
              </c:ext>
            </c:extLst>
          </c:dPt>
          <c:dLbls>
            <c:dLbl>
              <c:idx val="0"/>
              <c:layout>
                <c:manualLayout>
                  <c:x val="-3.0536020262967183E-2"/>
                  <c:y val="-3.8482554260165079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A03-4220-8869-F2348CE1C4F9}"/>
                </c:ext>
              </c:extLst>
            </c:dLbl>
            <c:dLbl>
              <c:idx val="1"/>
              <c:layout>
                <c:manualLayout>
                  <c:x val="-2.4656068596718367E-3"/>
                  <c:y val="-6.0739410852108074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A03-4220-8869-F2348CE1C4F9}"/>
                </c:ext>
              </c:extLst>
            </c:dLbl>
            <c:dLbl>
              <c:idx val="2"/>
              <c:layout>
                <c:manualLayout>
                  <c:x val="2.2971997677476768E-3"/>
                  <c:y val="-3.0369666206302801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A03-4220-8869-F2348CE1C4F9}"/>
                </c:ext>
              </c:extLst>
            </c:dLbl>
            <c:dLbl>
              <c:idx val="3"/>
              <c:layout>
                <c:manualLayout>
                  <c:x val="4.5943995354953537E-3"/>
                  <c:y val="-6.0744115413819844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A03-4220-8869-F2348CE1C4F9}"/>
                </c:ext>
              </c:extLst>
            </c:dLbl>
            <c:dLbl>
              <c:idx val="5"/>
              <c:layout>
                <c:manualLayout>
                  <c:x val="9.1887990709907073E-3"/>
                  <c:y val="-3.0369666206302801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A03-4220-8869-F2348CE1C4F9}"/>
                </c:ext>
              </c:extLst>
            </c:dLbl>
            <c:dLbl>
              <c:idx val="6"/>
              <c:layout>
                <c:manualLayout>
                  <c:x val="0"/>
                  <c:y val="-1.3229166666666667E-2"/>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A03-4220-8869-F2348CE1C4F9}"/>
                </c:ext>
              </c:extLst>
            </c:dLbl>
            <c:dLbl>
              <c:idx val="7"/>
              <c:layout>
                <c:manualLayout>
                  <c:x val="-2.2971997677476768E-3"/>
                  <c:y val="-3.0364883205089115E-3"/>
                </c:manualLayout>
              </c:layout>
              <c:spPr>
                <a:noFill/>
              </c:spPr>
              <c:txPr>
                <a:bodyPr/>
                <a:lstStyle/>
                <a:p>
                  <a:pPr>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A03-4220-8869-F2348CE1C4F9}"/>
                </c:ext>
              </c:extLst>
            </c:dLbl>
            <c:spPr>
              <a:noFill/>
            </c:spPr>
            <c:txPr>
              <a:bodyPr rot="0"/>
              <a:lstStyle/>
              <a:p>
                <a:pPr algn="ctr" rtl="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'所有率（従業上の地位別）'!$A$68:$A$75</c:f>
              <c:strCache>
                <c:ptCount val="8"/>
                <c:pt idx="0">
                  <c:v>農林・漁業主</c:v>
                </c:pt>
                <c:pt idx="1">
                  <c:v>商工・その他の業主</c:v>
                </c:pt>
                <c:pt idx="2">
                  <c:v>会社・団体・公社又は
個人に雇われている者</c:v>
                </c:pt>
                <c:pt idx="3">
                  <c:v>官公庁</c:v>
                </c:pt>
                <c:pt idx="4">
                  <c:v>労働者派遣事業所
の派遣社員</c:v>
                </c:pt>
                <c:pt idx="5">
                  <c:v>パート・アルバイト・その他</c:v>
                </c:pt>
                <c:pt idx="6">
                  <c:v>学生</c:v>
                </c:pt>
                <c:pt idx="7">
                  <c:v>その他</c:v>
                </c:pt>
              </c:strCache>
            </c:strRef>
          </c:cat>
          <c:val>
            <c:numRef>
              <c:f>'所有率（従業上の地位別）'!$C$68:$C$75</c:f>
              <c:numCache>
                <c:formatCode>\ ###,###,##0.0;"-"###,###,##0.0</c:formatCode>
                <c:ptCount val="8"/>
                <c:pt idx="0">
                  <c:v>95.652173913043484</c:v>
                </c:pt>
                <c:pt idx="1">
                  <c:v>88.461538461538453</c:v>
                </c:pt>
                <c:pt idx="2">
                  <c:v>70.247933884297524</c:v>
                </c:pt>
                <c:pt idx="3">
                  <c:v>59.090909090909093</c:v>
                </c:pt>
                <c:pt idx="4">
                  <c:v>80</c:v>
                </c:pt>
                <c:pt idx="5">
                  <c:v>66.666666666666657</c:v>
                </c:pt>
                <c:pt idx="6">
                  <c:v>0</c:v>
                </c:pt>
                <c:pt idx="7">
                  <c:v>84.112149532710276</c:v>
                </c:pt>
              </c:numCache>
            </c:numRef>
          </c:val>
          <c:extLst>
            <c:ext xmlns:c16="http://schemas.microsoft.com/office/drawing/2014/chart" uri="{C3380CC4-5D6E-409C-BE32-E72D297353CC}">
              <c16:uniqueId val="{0000000F-2A03-4220-8869-F2348CE1C4F9}"/>
            </c:ext>
          </c:extLst>
        </c:ser>
        <c:dLbls>
          <c:showLegendKey val="0"/>
          <c:showVal val="0"/>
          <c:showCatName val="0"/>
          <c:showSerName val="0"/>
          <c:showPercent val="0"/>
          <c:showBubbleSize val="0"/>
        </c:dLbls>
        <c:gapWidth val="75"/>
        <c:axId val="140301824"/>
        <c:axId val="140303360"/>
      </c:barChart>
      <c:catAx>
        <c:axId val="140301824"/>
        <c:scaling>
          <c:orientation val="maxMin"/>
        </c:scaling>
        <c:delete val="0"/>
        <c:axPos val="l"/>
        <c:numFmt formatCode="General" sourceLinked="0"/>
        <c:majorTickMark val="in"/>
        <c:minorTickMark val="none"/>
        <c:tickLblPos val="nextTo"/>
        <c:spPr>
          <a:ln>
            <a:solidFill>
              <a:schemeClr val="tx1"/>
            </a:solidFill>
          </a:ln>
        </c:spPr>
        <c:txPr>
          <a:bodyPr rot="0"/>
          <a:lstStyle/>
          <a:p>
            <a:pPr algn="ctr" rtl="0">
              <a:defRPr sz="600"/>
            </a:pPr>
            <a:endParaRPr lang="ja-JP"/>
          </a:p>
        </c:txPr>
        <c:crossAx val="140303360"/>
        <c:crosses val="autoZero"/>
        <c:auto val="1"/>
        <c:lblAlgn val="ctr"/>
        <c:lblOffset val="100"/>
        <c:noMultiLvlLbl val="0"/>
      </c:catAx>
      <c:valAx>
        <c:axId val="140303360"/>
        <c:scaling>
          <c:orientation val="minMax"/>
          <c:max val="100"/>
        </c:scaling>
        <c:delete val="0"/>
        <c:axPos val="t"/>
        <c:majorGridlines>
          <c:spPr>
            <a:ln>
              <a:prstDash val="sysDash"/>
            </a:ln>
          </c:spPr>
        </c:majorGridlines>
        <c:numFmt formatCode="General\%" sourceLinked="0"/>
        <c:majorTickMark val="in"/>
        <c:minorTickMark val="none"/>
        <c:tickLblPos val="high"/>
        <c:spPr>
          <a:ln>
            <a:solidFill>
              <a:schemeClr val="tx1"/>
            </a:solidFill>
          </a:ln>
        </c:spPr>
        <c:txPr>
          <a:bodyPr/>
          <a:lstStyle/>
          <a:p>
            <a:pPr algn="ctr" rtl="0">
              <a:defRPr/>
            </a:pPr>
            <a:endParaRPr lang="ja-JP"/>
          </a:p>
        </c:txPr>
        <c:crossAx val="140301824"/>
        <c:crosses val="autoZero"/>
        <c:crossBetween val="between"/>
        <c:majorUnit val="20"/>
      </c:valAx>
      <c:spPr>
        <a:ln>
          <a:solidFill>
            <a:schemeClr val="tx1"/>
          </a:solidFill>
        </a:ln>
      </c:spPr>
    </c:plotArea>
    <c:legend>
      <c:legendPos val="b"/>
      <c:layout>
        <c:manualLayout>
          <c:xMode val="edge"/>
          <c:yMode val="edge"/>
          <c:x val="0.84347332931964336"/>
          <c:y val="0.63986979166666669"/>
          <c:w val="0.10363083317363624"/>
          <c:h val="0.11318576388888887"/>
        </c:manualLayout>
      </c:layout>
      <c:overlay val="0"/>
      <c:spPr>
        <a:ln w="3175">
          <a:solidFill>
            <a:schemeClr val="tx1"/>
          </a:solidFill>
        </a:ln>
      </c:spPr>
      <c:txPr>
        <a:bodyPr/>
        <a:lstStyle/>
        <a:p>
          <a:pPr algn="l" rtl="0">
            <a:defRPr/>
          </a:pPr>
          <a:endParaRPr lang="ja-JP"/>
        </a:p>
      </c:txPr>
    </c:legend>
    <c:plotVisOnly val="1"/>
    <c:dispBlanksAs val="gap"/>
    <c:showDLblsOverMax val="0"/>
  </c:chart>
  <c:txPr>
    <a:bodyPr horzOverflow="overflow" anchor="ctr" anchorCtr="1"/>
    <a:lstStyle/>
    <a:p>
      <a:pPr algn="ctr" rtl="0">
        <a:defRPr lang="ja-JP" altLang="en-US" sz="800">
          <a:solidFill>
            <a:schemeClr val="tx1"/>
          </a:solidFill>
          <a:latin typeface="+mj-ea"/>
          <a:ea typeface="+mj-ea"/>
        </a:defRPr>
      </a:pPr>
      <a:endParaRPr lang="ja-JP"/>
    </a:p>
  </c:txPr>
  <c:externalData r:id="rId1">
    <c:autoUpdate val="0"/>
  </c:externalData>
  <c:extLst/>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a:t>
            </a:r>
            <a:r>
              <a:rPr lang="ja-JP" altLang="en-US" sz="800"/>
              <a:t>８</a:t>
            </a:r>
            <a:r>
              <a:rPr lang="ja-JP" sz="800"/>
              <a:t>－１　世帯の年間収入階級別住宅の所有率－全国、秋田県（平成30年）</a:t>
            </a:r>
          </a:p>
        </c:rich>
      </c:tx>
      <c:layout>
        <c:manualLayout>
          <c:xMode val="edge"/>
          <c:yMode val="edge"/>
          <c:x val="0.18856458675864737"/>
          <c:y val="2.0735112391106755E-2"/>
        </c:manualLayout>
      </c:layout>
      <c:overlay val="0"/>
    </c:title>
    <c:autoTitleDeleted val="0"/>
    <c:plotArea>
      <c:layout>
        <c:manualLayout>
          <c:layoutTarget val="inner"/>
          <c:xMode val="edge"/>
          <c:yMode val="edge"/>
          <c:x val="7.7488879041504394E-2"/>
          <c:y val="0.15397971983211384"/>
          <c:w val="0.89195555203654942"/>
          <c:h val="0.6995916692500449"/>
        </c:manualLayout>
      </c:layout>
      <c:lineChart>
        <c:grouping val="standard"/>
        <c:varyColors val="0"/>
        <c:ser>
          <c:idx val="1"/>
          <c:order val="0"/>
          <c:tx>
            <c:strRef>
              <c:f>'所有率（世帯の収入別）'!$B$42</c:f>
              <c:strCache>
                <c:ptCount val="1"/>
                <c:pt idx="0">
                  <c:v>秋田県</c:v>
                </c:pt>
              </c:strCache>
            </c:strRef>
          </c:tx>
          <c:spPr>
            <a:ln w="19050" cmpd="sng">
              <a:solidFill>
                <a:schemeClr val="tx1"/>
              </a:solidFill>
              <a:prstDash val="solid"/>
            </a:ln>
          </c:spPr>
          <c:marker>
            <c:spPr>
              <a:solidFill>
                <a:schemeClr val="tx1"/>
              </a:solidFill>
              <a:ln>
                <a:solidFill>
                  <a:schemeClr val="accent5"/>
                </a:solidFill>
              </a:ln>
            </c:spPr>
          </c:marker>
          <c:dLbls>
            <c:dLbl>
              <c:idx val="8"/>
              <c:layout>
                <c:manualLayout>
                  <c:x val="-1.0898856900569984E-3"/>
                  <c:y val="-2.7421758447237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79-46AE-919B-C9436590B2E7}"/>
                </c:ext>
              </c:extLst>
            </c:dLbl>
            <c:dLbl>
              <c:idx val="9"/>
              <c:layout>
                <c:manualLayout>
                  <c:x val="-2.4290662399748406E-2"/>
                  <c:y val="-6.0218816949318806E-2"/>
                </c:manualLayout>
              </c:layout>
              <c:spPr>
                <a:noFill/>
              </c:spPr>
              <c:txPr>
                <a:bodyPr rot="0"/>
                <a:lstStyle/>
                <a:p>
                  <a:pPr algn="ctr" rtl="0">
                    <a:defRPr sz="800"/>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79-46AE-919B-C9436590B2E7}"/>
                </c:ext>
              </c:extLst>
            </c:dLbl>
            <c:spPr>
              <a:solidFill>
                <a:schemeClr val="bg1"/>
              </a:solidFill>
            </c:spPr>
            <c:txPr>
              <a:bodyPr rot="0"/>
              <a:lstStyle/>
              <a:p>
                <a:pPr algn="ctr" rtl="0">
                  <a:defRPr sz="8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'所有率（世帯の収入別）'!$A$43:$A$52</c:f>
              <c:strCache>
                <c:ptCount val="10"/>
                <c:pt idx="0">
                  <c:v>100万円
未満</c:v>
                </c:pt>
                <c:pt idx="1">
                  <c:v>100～
 200万円</c:v>
                </c:pt>
                <c:pt idx="2">
                  <c:v>200～
 300万円</c:v>
                </c:pt>
                <c:pt idx="3">
                  <c:v>300～
 400万円</c:v>
                </c:pt>
                <c:pt idx="4">
                  <c:v>400～
 500万円</c:v>
                </c:pt>
                <c:pt idx="5">
                  <c:v>500～
 700万円</c:v>
                </c:pt>
                <c:pt idx="6">
                  <c:v>700～
 1000万円</c:v>
                </c:pt>
                <c:pt idx="7">
                  <c:v>1000～
 1500万円</c:v>
                </c:pt>
                <c:pt idx="8">
                  <c:v>1500～
 2000万円</c:v>
                </c:pt>
                <c:pt idx="9">
                  <c:v>2000万円
以上</c:v>
                </c:pt>
              </c:strCache>
            </c:strRef>
          </c:cat>
          <c:val>
            <c:numRef>
              <c:f>'所有率（世帯の収入別）'!$B$43:$B$52</c:f>
              <c:numCache>
                <c:formatCode>0.0</c:formatCode>
                <c:ptCount val="10"/>
                <c:pt idx="0">
                  <c:v>59.259259259259252</c:v>
                </c:pt>
                <c:pt idx="1">
                  <c:v>65.573770491803273</c:v>
                </c:pt>
                <c:pt idx="2">
                  <c:v>71.428571428571431</c:v>
                </c:pt>
                <c:pt idx="3">
                  <c:v>73.584905660377359</c:v>
                </c:pt>
                <c:pt idx="4">
                  <c:v>72.340425531914903</c:v>
                </c:pt>
                <c:pt idx="5">
                  <c:v>74.545454545454547</c:v>
                </c:pt>
                <c:pt idx="6">
                  <c:v>82.35294117647058</c:v>
                </c:pt>
                <c:pt idx="7">
                  <c:v>85.714285714285708</c:v>
                </c:pt>
                <c:pt idx="8">
                  <c:v>100</c:v>
                </c:pt>
                <c:pt idx="9">
                  <c:v>50</c:v>
                </c:pt>
              </c:numCache>
            </c:numRef>
          </c:val>
          <c:smooth val="0"/>
          <c:extLst>
            <c:ext xmlns:c16="http://schemas.microsoft.com/office/drawing/2014/chart" uri="{C3380CC4-5D6E-409C-BE32-E72D297353CC}">
              <c16:uniqueId val="{00000002-1679-46AE-919B-C9436590B2E7}"/>
            </c:ext>
          </c:extLst>
        </c:ser>
        <c:ser>
          <c:idx val="0"/>
          <c:order val="1"/>
          <c:tx>
            <c:strRef>
              <c:f>'所有率（世帯の収入別）'!$C$42</c:f>
              <c:strCache>
                <c:ptCount val="1"/>
                <c:pt idx="0">
                  <c:v>全国</c:v>
                </c:pt>
              </c:strCache>
            </c:strRef>
          </c:tx>
          <c:spPr>
            <a:ln w="19050">
              <a:solidFill>
                <a:schemeClr val="tx1"/>
              </a:solidFill>
              <a:prstDash val="sysDash"/>
            </a:ln>
          </c:spPr>
          <c:marker>
            <c:symbol val="diamond"/>
            <c:size val="6"/>
            <c:spPr>
              <a:solidFill>
                <a:schemeClr val="tx1"/>
              </a:solidFill>
              <a:ln>
                <a:solidFill>
                  <a:schemeClr val="accent5"/>
                </a:solidFill>
              </a:ln>
            </c:spPr>
          </c:marker>
          <c:dPt>
            <c:idx val="0"/>
            <c:bubble3D val="0"/>
            <c:extLst>
              <c:ext xmlns:c16="http://schemas.microsoft.com/office/drawing/2014/chart" uri="{C3380CC4-5D6E-409C-BE32-E72D297353CC}">
                <c16:uniqueId val="{00000003-1679-46AE-919B-C9436590B2E7}"/>
              </c:ext>
            </c:extLst>
          </c:dPt>
          <c:dLbls>
            <c:dLbl>
              <c:idx val="0"/>
              <c:spPr>
                <a:solidFill>
                  <a:schemeClr val="bg1"/>
                </a:solidFill>
              </c:spPr>
              <c:txPr>
                <a:bodyPr/>
                <a:lstStyle/>
                <a:p>
                  <a:pPr>
                    <a:defRPr sz="800"/>
                  </a:pPr>
                  <a:endParaRPr lang="ja-JP"/>
                </a:p>
              </c:txPr>
              <c:dLblPos val="b"/>
              <c:showLegendKey val="0"/>
              <c:showVal val="1"/>
              <c:showCatName val="0"/>
              <c:showSerName val="0"/>
              <c:showPercent val="0"/>
              <c:showBubbleSize val="0"/>
              <c:extLst>
                <c:ext xmlns:c16="http://schemas.microsoft.com/office/drawing/2014/chart" uri="{C3380CC4-5D6E-409C-BE32-E72D297353CC}">
                  <c16:uniqueId val="{00000003-1679-46AE-919B-C9436590B2E7}"/>
                </c:ext>
              </c:extLst>
            </c:dLbl>
            <c:dLbl>
              <c:idx val="2"/>
              <c:tx>
                <c:rich>
                  <a:bodyPr/>
                  <a:lstStyle/>
                  <a:p>
                    <a:r>
                      <a:rPr lang="en-US" altLang="en-US"/>
                      <a:t>50.0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679-46AE-919B-C9436590B2E7}"/>
                </c:ext>
              </c:extLst>
            </c:dLbl>
            <c:dLbl>
              <c:idx val="5"/>
              <c:tx>
                <c:rich>
                  <a:bodyPr/>
                  <a:lstStyle/>
                  <a:p>
                    <a:r>
                      <a:rPr lang="en-US" altLang="en-US"/>
                      <a:t>60.0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679-46AE-919B-C9436590B2E7}"/>
                </c:ext>
              </c:extLst>
            </c:dLbl>
            <c:dLbl>
              <c:idx val="6"/>
              <c:tx>
                <c:rich>
                  <a:bodyPr/>
                  <a:lstStyle/>
                  <a:p>
                    <a:r>
                      <a:rPr lang="en-US" altLang="en-US"/>
                      <a:t>67.0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679-46AE-919B-C9436590B2E7}"/>
                </c:ext>
              </c:extLst>
            </c:dLbl>
            <c:spPr>
              <a:noFill/>
              <a:ln>
                <a:noFill/>
              </a:ln>
              <a:effectLst/>
            </c:spPr>
            <c:txPr>
              <a:bodyPr rot="0"/>
              <a:lstStyle/>
              <a:p>
                <a:pPr algn="ctr" rtl="0">
                  <a:defRPr sz="800"/>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'所有率（世帯の収入別）'!$A$43:$A$52</c:f>
              <c:strCache>
                <c:ptCount val="10"/>
                <c:pt idx="0">
                  <c:v>100万円
未満</c:v>
                </c:pt>
                <c:pt idx="1">
                  <c:v>100～
 200万円</c:v>
                </c:pt>
                <c:pt idx="2">
                  <c:v>200～
 300万円</c:v>
                </c:pt>
                <c:pt idx="3">
                  <c:v>300～
 400万円</c:v>
                </c:pt>
                <c:pt idx="4">
                  <c:v>400～
 500万円</c:v>
                </c:pt>
                <c:pt idx="5">
                  <c:v>500～
 700万円</c:v>
                </c:pt>
                <c:pt idx="6">
                  <c:v>700～
 1000万円</c:v>
                </c:pt>
                <c:pt idx="7">
                  <c:v>1000～
 1500万円</c:v>
                </c:pt>
                <c:pt idx="8">
                  <c:v>1500～
 2000万円</c:v>
                </c:pt>
                <c:pt idx="9">
                  <c:v>2000万円
以上</c:v>
                </c:pt>
              </c:strCache>
            </c:strRef>
          </c:cat>
          <c:val>
            <c:numRef>
              <c:f>'所有率（世帯の収入別）'!$C$43:$C$52</c:f>
              <c:numCache>
                <c:formatCode>General</c:formatCode>
                <c:ptCount val="10"/>
                <c:pt idx="0">
                  <c:v>35.200000000000003</c:v>
                </c:pt>
                <c:pt idx="1">
                  <c:v>43.3</c:v>
                </c:pt>
                <c:pt idx="2">
                  <c:v>50</c:v>
                </c:pt>
                <c:pt idx="3">
                  <c:v>49.8</c:v>
                </c:pt>
                <c:pt idx="4">
                  <c:v>52.6</c:v>
                </c:pt>
                <c:pt idx="5">
                  <c:v>60</c:v>
                </c:pt>
                <c:pt idx="6">
                  <c:v>67</c:v>
                </c:pt>
                <c:pt idx="7">
                  <c:v>73.8</c:v>
                </c:pt>
                <c:pt idx="8">
                  <c:v>77.7</c:v>
                </c:pt>
                <c:pt idx="9">
                  <c:v>81.5</c:v>
                </c:pt>
              </c:numCache>
            </c:numRef>
          </c:val>
          <c:smooth val="0"/>
          <c:extLst>
            <c:ext xmlns:c16="http://schemas.microsoft.com/office/drawing/2014/chart" uri="{C3380CC4-5D6E-409C-BE32-E72D297353CC}">
              <c16:uniqueId val="{00000007-1679-46AE-919B-C9436590B2E7}"/>
            </c:ext>
          </c:extLst>
        </c:ser>
        <c:dLbls>
          <c:showLegendKey val="0"/>
          <c:showVal val="0"/>
          <c:showCatName val="0"/>
          <c:showSerName val="0"/>
          <c:showPercent val="0"/>
          <c:showBubbleSize val="0"/>
        </c:dLbls>
        <c:marker val="1"/>
        <c:smooth val="0"/>
        <c:axId val="140367360"/>
        <c:axId val="140368896"/>
      </c:lineChart>
      <c:catAx>
        <c:axId val="140367360"/>
        <c:scaling>
          <c:orientation val="minMax"/>
        </c:scaling>
        <c:delete val="0"/>
        <c:axPos val="b"/>
        <c:numFmt formatCode="General" sourceLinked="1"/>
        <c:majorTickMark val="in"/>
        <c:minorTickMark val="none"/>
        <c:tickLblPos val="nextTo"/>
        <c:spPr>
          <a:ln>
            <a:solidFill>
              <a:schemeClr val="tx1"/>
            </a:solidFill>
          </a:ln>
        </c:spPr>
        <c:txPr>
          <a:bodyPr/>
          <a:lstStyle/>
          <a:p>
            <a:pPr algn="ctr" rtl="0">
              <a:defRPr sz="700"/>
            </a:pPr>
            <a:endParaRPr lang="ja-JP"/>
          </a:p>
        </c:txPr>
        <c:crossAx val="140368896"/>
        <c:crosses val="autoZero"/>
        <c:auto val="1"/>
        <c:lblAlgn val="ctr"/>
        <c:lblOffset val="100"/>
        <c:noMultiLvlLbl val="0"/>
      </c:catAx>
      <c:valAx>
        <c:axId val="140368896"/>
        <c:scaling>
          <c:orientation val="minMax"/>
          <c:max val="100"/>
        </c:scaling>
        <c:delete val="0"/>
        <c:axPos val="l"/>
        <c:majorGridlines>
          <c:spPr>
            <a:ln>
              <a:prstDash val="sysDash"/>
            </a:ln>
          </c:spPr>
        </c:majorGridlines>
        <c:numFmt formatCode="#,##0_);[Red]\(#,##0\)" sourceLinked="0"/>
        <c:majorTickMark val="in"/>
        <c:minorTickMark val="none"/>
        <c:tickLblPos val="nextTo"/>
        <c:spPr>
          <a:ln>
            <a:solidFill>
              <a:schemeClr val="tx1"/>
            </a:solidFill>
          </a:ln>
        </c:spPr>
        <c:txPr>
          <a:bodyPr/>
          <a:lstStyle/>
          <a:p>
            <a:pPr algn="ctr" rtl="0">
              <a:defRPr sz="800"/>
            </a:pPr>
            <a:endParaRPr lang="ja-JP"/>
          </a:p>
        </c:txPr>
        <c:crossAx val="140367360"/>
        <c:crosses val="autoZero"/>
        <c:crossBetween val="between"/>
        <c:majorUnit val="20"/>
      </c:valAx>
      <c:spPr>
        <a:ln>
          <a:solidFill>
            <a:schemeClr val="tx1"/>
          </a:solidFill>
        </a:ln>
      </c:spPr>
    </c:plotArea>
    <c:legend>
      <c:legendPos val="b"/>
      <c:layout>
        <c:manualLayout>
          <c:xMode val="edge"/>
          <c:yMode val="edge"/>
          <c:x val="0.79080712684389765"/>
          <c:y val="0.57657674234019718"/>
          <c:w val="0.13140599034792183"/>
          <c:h val="0.14564566027184744"/>
        </c:manualLayout>
      </c:layout>
      <c:overlay val="0"/>
      <c:spPr>
        <a:solidFill>
          <a:schemeClr val="bg1"/>
        </a:solidFill>
        <a:ln w="3175">
          <a:solidFill>
            <a:schemeClr val="tx1"/>
          </a:solidFill>
        </a:ln>
      </c:spPr>
      <c:txPr>
        <a:bodyPr/>
        <a:lstStyle/>
        <a:p>
          <a:pPr algn="l" rtl="0">
            <a:defRPr sz="8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rtl="0">
              <a:defRPr sz="800"/>
            </a:pPr>
            <a:r>
              <a:rPr lang="ja-JP" sz="800"/>
              <a:t>図１</a:t>
            </a:r>
            <a:r>
              <a:rPr lang="ja-JP" altLang="en-US" sz="800"/>
              <a:t>８</a:t>
            </a:r>
            <a:r>
              <a:rPr lang="ja-JP" sz="800"/>
              <a:t>－２　世帯の年間収入階級別土地の所有率－全国、秋田県（平成30年）</a:t>
            </a:r>
          </a:p>
        </c:rich>
      </c:tx>
      <c:layout>
        <c:manualLayout>
          <c:xMode val="edge"/>
          <c:yMode val="edge"/>
          <c:x val="0.19110392954230321"/>
          <c:y val="2.0752269779507133E-2"/>
        </c:manualLayout>
      </c:layout>
      <c:overlay val="0"/>
    </c:title>
    <c:autoTitleDeleted val="0"/>
    <c:plotArea>
      <c:layout>
        <c:manualLayout>
          <c:layoutTarget val="inner"/>
          <c:xMode val="edge"/>
          <c:yMode val="edge"/>
          <c:x val="7.7488879041504394E-2"/>
          <c:y val="0.15590243752473837"/>
          <c:w val="0.89195555203654942"/>
          <c:h val="0.70230264042763335"/>
        </c:manualLayout>
      </c:layout>
      <c:lineChart>
        <c:grouping val="standard"/>
        <c:varyColors val="0"/>
        <c:ser>
          <c:idx val="1"/>
          <c:order val="0"/>
          <c:tx>
            <c:strRef>
              <c:f>'所有率（世帯の収入別）'!$B$57</c:f>
              <c:strCache>
                <c:ptCount val="1"/>
                <c:pt idx="0">
                  <c:v>秋田県</c:v>
                </c:pt>
              </c:strCache>
            </c:strRef>
          </c:tx>
          <c:spPr>
            <a:ln w="19050" cmpd="sng">
              <a:solidFill>
                <a:schemeClr val="tx1"/>
              </a:solidFill>
              <a:prstDash val="solid"/>
            </a:ln>
          </c:spPr>
          <c:marker>
            <c:spPr>
              <a:solidFill>
                <a:schemeClr val="tx1"/>
              </a:solidFill>
              <a:ln>
                <a:solidFill>
                  <a:schemeClr val="accent5"/>
                </a:solidFill>
              </a:ln>
            </c:spPr>
          </c:marker>
          <c:dLbls>
            <c:dLbl>
              <c:idx val="7"/>
              <c:spPr>
                <a:noFill/>
              </c:spPr>
              <c:txPr>
                <a:bodyPr rot="0"/>
                <a:lstStyle/>
                <a:p>
                  <a:pPr algn="ctr" rtl="0">
                    <a:defRPr sz="800"/>
                  </a:pPr>
                  <a:endParaRPr lang="ja-JP"/>
                </a:p>
              </c:txPr>
              <c:dLblPos val="t"/>
              <c:showLegendKey val="0"/>
              <c:showVal val="1"/>
              <c:showCatName val="0"/>
              <c:showSerName val="0"/>
              <c:showPercent val="0"/>
              <c:showBubbleSize val="0"/>
              <c:extLst>
                <c:ext xmlns:c16="http://schemas.microsoft.com/office/drawing/2014/chart" uri="{C3380CC4-5D6E-409C-BE32-E72D297353CC}">
                  <c16:uniqueId val="{00000000-1531-4A36-AB2B-957510036AF7}"/>
                </c:ext>
              </c:extLst>
            </c:dLbl>
            <c:dLbl>
              <c:idx val="8"/>
              <c:layout>
                <c:manualLayout>
                  <c:x val="-1.1157168416983875E-3"/>
                  <c:y val="-3.06125899709095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31-4A36-AB2B-957510036AF7}"/>
                </c:ext>
              </c:extLst>
            </c:dLbl>
            <c:dLbl>
              <c:idx val="9"/>
              <c:layout>
                <c:manualLayout>
                  <c:x val="-2.2138676989870588E-2"/>
                  <c:y val="-7.0603627324316812E-2"/>
                </c:manualLayout>
              </c:layout>
              <c:spPr>
                <a:noFill/>
              </c:spPr>
              <c:txPr>
                <a:bodyPr rot="0"/>
                <a:lstStyle/>
                <a:p>
                  <a:pPr algn="ctr" rtl="0">
                    <a:defRPr sz="800"/>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31-4A36-AB2B-957510036AF7}"/>
                </c:ext>
              </c:extLst>
            </c:dLbl>
            <c:spPr>
              <a:solidFill>
                <a:schemeClr val="bg1"/>
              </a:solidFill>
            </c:spPr>
            <c:txPr>
              <a:bodyPr rot="0"/>
              <a:lstStyle/>
              <a:p>
                <a:pPr algn="ctr" rtl="0">
                  <a:defRPr sz="800"/>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'所有率（世帯の収入別）'!$A$58:$A$67</c:f>
              <c:strCache>
                <c:ptCount val="10"/>
                <c:pt idx="0">
                  <c:v>100万円
未満</c:v>
                </c:pt>
                <c:pt idx="1">
                  <c:v>100～
 200万円</c:v>
                </c:pt>
                <c:pt idx="2">
                  <c:v>200～
 300万円</c:v>
                </c:pt>
                <c:pt idx="3">
                  <c:v>300～
 400万円</c:v>
                </c:pt>
                <c:pt idx="4">
                  <c:v>400～
 500万円</c:v>
                </c:pt>
                <c:pt idx="5">
                  <c:v>500～
 700万円</c:v>
                </c:pt>
                <c:pt idx="6">
                  <c:v>700～
 1000万円</c:v>
                </c:pt>
                <c:pt idx="7">
                  <c:v>1000～
 1500万円</c:v>
                </c:pt>
                <c:pt idx="8">
                  <c:v>1500～
 2000万円</c:v>
                </c:pt>
                <c:pt idx="9">
                  <c:v>2000万円
以上</c:v>
                </c:pt>
              </c:strCache>
            </c:strRef>
          </c:cat>
          <c:val>
            <c:numRef>
              <c:f>'所有率（世帯の収入別）'!$B$58:$B$67</c:f>
              <c:numCache>
                <c:formatCode>0.0</c:formatCode>
                <c:ptCount val="10"/>
                <c:pt idx="0">
                  <c:v>62.962962962962962</c:v>
                </c:pt>
                <c:pt idx="1">
                  <c:v>65.573770491803273</c:v>
                </c:pt>
                <c:pt idx="2">
                  <c:v>71.428571428571431</c:v>
                </c:pt>
                <c:pt idx="3">
                  <c:v>75.471698113207552</c:v>
                </c:pt>
                <c:pt idx="4">
                  <c:v>72.340425531914903</c:v>
                </c:pt>
                <c:pt idx="5">
                  <c:v>76.363636363636374</c:v>
                </c:pt>
                <c:pt idx="6">
                  <c:v>82.35294117647058</c:v>
                </c:pt>
                <c:pt idx="7">
                  <c:v>78.571428571428569</c:v>
                </c:pt>
                <c:pt idx="8">
                  <c:v>100</c:v>
                </c:pt>
                <c:pt idx="9">
                  <c:v>50</c:v>
                </c:pt>
              </c:numCache>
            </c:numRef>
          </c:val>
          <c:smooth val="0"/>
          <c:extLst>
            <c:ext xmlns:c16="http://schemas.microsoft.com/office/drawing/2014/chart" uri="{C3380CC4-5D6E-409C-BE32-E72D297353CC}">
              <c16:uniqueId val="{00000003-1531-4A36-AB2B-957510036AF7}"/>
            </c:ext>
          </c:extLst>
        </c:ser>
        <c:ser>
          <c:idx val="0"/>
          <c:order val="1"/>
          <c:tx>
            <c:strRef>
              <c:f>'所有率（世帯の収入別）'!$C$57</c:f>
              <c:strCache>
                <c:ptCount val="1"/>
                <c:pt idx="0">
                  <c:v>全国</c:v>
                </c:pt>
              </c:strCache>
            </c:strRef>
          </c:tx>
          <c:spPr>
            <a:ln w="19050">
              <a:solidFill>
                <a:schemeClr val="tx1"/>
              </a:solidFill>
              <a:prstDash val="sysDash"/>
            </a:ln>
          </c:spPr>
          <c:marker>
            <c:symbol val="diamond"/>
            <c:size val="6"/>
            <c:spPr>
              <a:solidFill>
                <a:schemeClr val="tx1"/>
              </a:solidFill>
              <a:ln>
                <a:solidFill>
                  <a:schemeClr val="accent5"/>
                </a:solidFill>
              </a:ln>
            </c:spPr>
          </c:marker>
          <c:dPt>
            <c:idx val="0"/>
            <c:bubble3D val="0"/>
            <c:extLst>
              <c:ext xmlns:c16="http://schemas.microsoft.com/office/drawing/2014/chart" uri="{C3380CC4-5D6E-409C-BE32-E72D297353CC}">
                <c16:uniqueId val="{00000004-1531-4A36-AB2B-957510036AF7}"/>
              </c:ext>
            </c:extLst>
          </c:dPt>
          <c:dLbls>
            <c:dLbl>
              <c:idx val="0"/>
              <c:spPr>
                <a:solidFill>
                  <a:schemeClr val="bg1"/>
                </a:solidFill>
              </c:spPr>
              <c:txPr>
                <a:bodyPr/>
                <a:lstStyle/>
                <a:p>
                  <a:pPr>
                    <a:defRPr sz="800"/>
                  </a:pPr>
                  <a:endParaRPr lang="ja-JP"/>
                </a:p>
              </c:txPr>
              <c:dLblPos val="b"/>
              <c:showLegendKey val="0"/>
              <c:showVal val="1"/>
              <c:showCatName val="0"/>
              <c:showSerName val="0"/>
              <c:showPercent val="0"/>
              <c:showBubbleSize val="0"/>
              <c:extLst>
                <c:ext xmlns:c16="http://schemas.microsoft.com/office/drawing/2014/chart" uri="{C3380CC4-5D6E-409C-BE32-E72D297353CC}">
                  <c16:uniqueId val="{00000004-1531-4A36-AB2B-957510036AF7}"/>
                </c:ext>
              </c:extLst>
            </c:dLbl>
            <c:spPr>
              <a:noFill/>
              <a:ln>
                <a:noFill/>
              </a:ln>
              <a:effectLst/>
            </c:spPr>
            <c:txPr>
              <a:bodyPr rot="0"/>
              <a:lstStyle/>
              <a:p>
                <a:pPr algn="ctr" rtl="0">
                  <a:defRPr sz="800"/>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'所有率（世帯の収入別）'!$A$58:$A$67</c:f>
              <c:strCache>
                <c:ptCount val="10"/>
                <c:pt idx="0">
                  <c:v>100万円
未満</c:v>
                </c:pt>
                <c:pt idx="1">
                  <c:v>100～
 200万円</c:v>
                </c:pt>
                <c:pt idx="2">
                  <c:v>200～
 300万円</c:v>
                </c:pt>
                <c:pt idx="3">
                  <c:v>300～
 400万円</c:v>
                </c:pt>
                <c:pt idx="4">
                  <c:v>400～
 500万円</c:v>
                </c:pt>
                <c:pt idx="5">
                  <c:v>500～
 700万円</c:v>
                </c:pt>
                <c:pt idx="6">
                  <c:v>700～
 1000万円</c:v>
                </c:pt>
                <c:pt idx="7">
                  <c:v>1000～
 1500万円</c:v>
                </c:pt>
                <c:pt idx="8">
                  <c:v>1500～
 2000万円</c:v>
                </c:pt>
                <c:pt idx="9">
                  <c:v>2000万円
以上</c:v>
                </c:pt>
              </c:strCache>
            </c:strRef>
          </c:cat>
          <c:val>
            <c:numRef>
              <c:f>'所有率（世帯の収入別）'!$C$58:$C$67</c:f>
              <c:numCache>
                <c:formatCode>General</c:formatCode>
                <c:ptCount val="10"/>
                <c:pt idx="0">
                  <c:v>35.9</c:v>
                </c:pt>
                <c:pt idx="1">
                  <c:v>43.9</c:v>
                </c:pt>
                <c:pt idx="2" formatCode="0.0">
                  <c:v>50.6</c:v>
                </c:pt>
                <c:pt idx="3" formatCode="0.0">
                  <c:v>50</c:v>
                </c:pt>
                <c:pt idx="4" formatCode="0.0">
                  <c:v>52.2</c:v>
                </c:pt>
                <c:pt idx="5">
                  <c:v>59.5</c:v>
                </c:pt>
                <c:pt idx="6">
                  <c:v>66.599999999999994</c:v>
                </c:pt>
                <c:pt idx="7">
                  <c:v>73.2</c:v>
                </c:pt>
                <c:pt idx="8">
                  <c:v>78.8</c:v>
                </c:pt>
                <c:pt idx="9">
                  <c:v>83.5</c:v>
                </c:pt>
              </c:numCache>
            </c:numRef>
          </c:val>
          <c:smooth val="0"/>
          <c:extLst>
            <c:ext xmlns:c16="http://schemas.microsoft.com/office/drawing/2014/chart" uri="{C3380CC4-5D6E-409C-BE32-E72D297353CC}">
              <c16:uniqueId val="{00000005-1531-4A36-AB2B-957510036AF7}"/>
            </c:ext>
          </c:extLst>
        </c:ser>
        <c:dLbls>
          <c:showLegendKey val="0"/>
          <c:showVal val="0"/>
          <c:showCatName val="0"/>
          <c:showSerName val="0"/>
          <c:showPercent val="0"/>
          <c:showBubbleSize val="0"/>
        </c:dLbls>
        <c:marker val="1"/>
        <c:smooth val="0"/>
        <c:axId val="140417280"/>
        <c:axId val="140431360"/>
      </c:lineChart>
      <c:catAx>
        <c:axId val="140417280"/>
        <c:scaling>
          <c:orientation val="minMax"/>
        </c:scaling>
        <c:delete val="0"/>
        <c:axPos val="b"/>
        <c:numFmt formatCode="General" sourceLinked="1"/>
        <c:majorTickMark val="in"/>
        <c:minorTickMark val="none"/>
        <c:tickLblPos val="nextTo"/>
        <c:spPr>
          <a:ln>
            <a:solidFill>
              <a:schemeClr val="tx1"/>
            </a:solidFill>
          </a:ln>
        </c:spPr>
        <c:txPr>
          <a:bodyPr/>
          <a:lstStyle/>
          <a:p>
            <a:pPr algn="ctr" rtl="0">
              <a:defRPr sz="700"/>
            </a:pPr>
            <a:endParaRPr lang="ja-JP"/>
          </a:p>
        </c:txPr>
        <c:crossAx val="140431360"/>
        <c:crosses val="autoZero"/>
        <c:auto val="1"/>
        <c:lblAlgn val="ctr"/>
        <c:lblOffset val="100"/>
        <c:noMultiLvlLbl val="0"/>
      </c:catAx>
      <c:valAx>
        <c:axId val="140431360"/>
        <c:scaling>
          <c:orientation val="minMax"/>
          <c:max val="100"/>
        </c:scaling>
        <c:delete val="0"/>
        <c:axPos val="l"/>
        <c:majorGridlines>
          <c:spPr>
            <a:ln>
              <a:prstDash val="sysDash"/>
            </a:ln>
          </c:spPr>
        </c:majorGridlines>
        <c:numFmt formatCode="#,##0_);[Red]\(#,##0\)" sourceLinked="0"/>
        <c:majorTickMark val="in"/>
        <c:minorTickMark val="none"/>
        <c:tickLblPos val="nextTo"/>
        <c:spPr>
          <a:ln>
            <a:solidFill>
              <a:schemeClr val="tx1"/>
            </a:solidFill>
          </a:ln>
        </c:spPr>
        <c:txPr>
          <a:bodyPr/>
          <a:lstStyle/>
          <a:p>
            <a:pPr algn="ctr" rtl="0">
              <a:defRPr sz="800"/>
            </a:pPr>
            <a:endParaRPr lang="ja-JP"/>
          </a:p>
        </c:txPr>
        <c:crossAx val="140417280"/>
        <c:crosses val="autoZero"/>
        <c:crossBetween val="between"/>
        <c:majorUnit val="20"/>
      </c:valAx>
      <c:spPr>
        <a:ln>
          <a:solidFill>
            <a:schemeClr val="tx1"/>
          </a:solidFill>
        </a:ln>
      </c:spPr>
    </c:plotArea>
    <c:legend>
      <c:legendPos val="b"/>
      <c:layout>
        <c:manualLayout>
          <c:xMode val="edge"/>
          <c:yMode val="edge"/>
          <c:x val="0.78058962378008656"/>
          <c:y val="0.57657674234019718"/>
          <c:w val="0.14161538191725634"/>
          <c:h val="0.14564566027184744"/>
        </c:manualLayout>
      </c:layout>
      <c:overlay val="0"/>
      <c:spPr>
        <a:solidFill>
          <a:schemeClr val="bg1"/>
        </a:solidFill>
        <a:ln w="3175">
          <a:solidFill>
            <a:schemeClr val="tx1"/>
          </a:solidFill>
        </a:ln>
      </c:spPr>
      <c:txPr>
        <a:bodyPr/>
        <a:lstStyle/>
        <a:p>
          <a:pPr algn="l" rtl="0">
            <a:defRPr sz="800"/>
          </a:pPr>
          <a:endParaRPr lang="ja-JP"/>
        </a:p>
      </c:txPr>
    </c:legend>
    <c:plotVisOnly val="1"/>
    <c:dispBlanksAs val="gap"/>
    <c:showDLblsOverMax val="0"/>
  </c:chart>
  <c:txPr>
    <a:bodyPr horzOverflow="overflow" anchor="ctr" anchorCtr="1"/>
    <a:lstStyle/>
    <a:p>
      <a:pPr algn="ctr" rtl="0">
        <a:defRPr lang="ja-JP" altLang="en-US" sz="1000">
          <a:solidFill>
            <a:schemeClr val="tx1"/>
          </a:solidFill>
          <a:latin typeface="+mj-ea"/>
          <a:ea typeface="+mj-ea"/>
        </a:defRPr>
      </a:pPr>
      <a:endParaRPr lang="ja-JP"/>
    </a:p>
  </c:txPr>
  <c:externalData r:id="rId1">
    <c:autoUpdate val="0"/>
  </c:externalData>
  <c:userShapes r:id="rId2"/>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600" i="0" u="none" strike="noStrike" baseline="0">
                <a:solidFill>
                  <a:schemeClr val="tx1"/>
                </a:solidFill>
                <a:latin typeface="+mj-ea"/>
                <a:ea typeface="+mj-ea"/>
              </a:defRPr>
            </a:pPr>
            <a:r>
              <a:rPr lang="en-US" altLang="ja-JP" sz="600" b="1" i="0" u="none" strike="noStrike" baseline="0">
                <a:solidFill>
                  <a:schemeClr val="tx1"/>
                </a:solidFill>
                <a:latin typeface="+mj-ea"/>
                <a:ea typeface="+mj-ea"/>
              </a:rPr>
              <a:t>75</a:t>
            </a:r>
            <a:r>
              <a:rPr lang="ja-JP" altLang="en-US" sz="600" b="1" i="0" u="none" strike="noStrike" baseline="0">
                <a:solidFill>
                  <a:schemeClr val="tx1"/>
                </a:solidFill>
                <a:latin typeface="+mj-ea"/>
                <a:ea typeface="+mj-ea"/>
              </a:rPr>
              <a:t>歳以上世帯員のいる世帯の推移</a:t>
            </a:r>
            <a:endParaRPr lang="en-US" altLang="ja-JP" sz="600" b="1" i="0" u="none" strike="noStrike" baseline="0">
              <a:solidFill>
                <a:schemeClr val="tx1"/>
              </a:solidFill>
              <a:latin typeface="+mj-ea"/>
              <a:ea typeface="+mj-ea"/>
            </a:endParaRPr>
          </a:p>
          <a:p>
            <a:pPr algn="ctr" rtl="0">
              <a:defRPr sz="600" i="0" u="none" strike="noStrike" baseline="0">
                <a:solidFill>
                  <a:schemeClr val="tx1"/>
                </a:solidFill>
                <a:latin typeface="+mj-ea"/>
                <a:ea typeface="+mj-ea"/>
              </a:defRPr>
            </a:pPr>
            <a:r>
              <a:rPr lang="ja-JP" altLang="en-US" sz="600" b="1" i="0" u="none" strike="noStrike" baseline="0">
                <a:solidFill>
                  <a:schemeClr val="tx1"/>
                </a:solidFill>
                <a:latin typeface="+mj-ea"/>
                <a:ea typeface="+mj-ea"/>
              </a:rPr>
              <a:t>全国、秋田県（昭和</a:t>
            </a:r>
            <a:r>
              <a:rPr lang="en-US" altLang="ja-JP" sz="600" b="1" i="0" u="none" strike="noStrike" baseline="0">
                <a:solidFill>
                  <a:schemeClr val="tx1"/>
                </a:solidFill>
                <a:latin typeface="+mj-ea"/>
                <a:ea typeface="+mj-ea"/>
              </a:rPr>
              <a:t>63</a:t>
            </a:r>
            <a:r>
              <a:rPr lang="ja-JP" altLang="en-US" sz="600" b="1" i="0" u="none" strike="noStrike" baseline="0">
                <a:solidFill>
                  <a:schemeClr val="tx1"/>
                </a:solidFill>
                <a:latin typeface="+mj-ea"/>
                <a:ea typeface="+mj-ea"/>
              </a:rPr>
              <a:t>年～平成</a:t>
            </a:r>
            <a:r>
              <a:rPr lang="en-US" altLang="ja-JP" sz="600" b="1" i="0" u="none" strike="noStrike" baseline="0">
                <a:solidFill>
                  <a:schemeClr val="tx1"/>
                </a:solidFill>
                <a:latin typeface="+mj-ea"/>
                <a:ea typeface="+mj-ea"/>
              </a:rPr>
              <a:t>30</a:t>
            </a:r>
            <a:r>
              <a:rPr lang="ja-JP" altLang="en-US" sz="600" b="1" i="0" u="none" strike="noStrike" baseline="0">
                <a:solidFill>
                  <a:schemeClr val="tx1"/>
                </a:solidFill>
                <a:latin typeface="+mj-ea"/>
                <a:ea typeface="+mj-ea"/>
              </a:rPr>
              <a:t>年）</a:t>
            </a:r>
          </a:p>
        </c:rich>
      </c:tx>
      <c:layout>
        <c:manualLayout>
          <c:xMode val="edge"/>
          <c:yMode val="edge"/>
          <c:x val="0.29009135342181169"/>
          <c:y val="0"/>
        </c:manualLayout>
      </c:layout>
      <c:overlay val="1"/>
    </c:title>
    <c:autoTitleDeleted val="0"/>
    <c:plotArea>
      <c:layout>
        <c:manualLayout>
          <c:layoutTarget val="inner"/>
          <c:xMode val="edge"/>
          <c:yMode val="edge"/>
          <c:x val="0.11551748609615432"/>
          <c:y val="0.16617627422783604"/>
          <c:w val="0.75298091774423614"/>
          <c:h val="0.66682901009891427"/>
        </c:manualLayout>
      </c:layout>
      <c:barChart>
        <c:barDir val="col"/>
        <c:grouping val="clustered"/>
        <c:varyColors val="0"/>
        <c:ser>
          <c:idx val="0"/>
          <c:order val="0"/>
          <c:tx>
            <c:strRef>
              <c:f>要約掲載図表!$B$81</c:f>
              <c:strCache>
                <c:ptCount val="1"/>
                <c:pt idx="0">
                  <c:v>75歳以上世帯員のいる世帯数</c:v>
                </c:pt>
              </c:strCache>
            </c:strRef>
          </c:tx>
          <c:spPr>
            <a:pattFill prst="pct25">
              <a:fgClr>
                <a:schemeClr val="accent5"/>
              </a:fgClr>
              <a:bgClr>
                <a:schemeClr val="bg1"/>
              </a:bgClr>
            </a:pattFill>
            <a:ln>
              <a:solidFill>
                <a:srgbClr xmlns:mc="http://schemas.openxmlformats.org/markup-compatibility/2006" xmlns:a14="http://schemas.microsoft.com/office/drawing/2010/main" val="000000" mc:Ignorable="a14" a14:legacySpreadsheetColorIndex="64"/>
              </a:solidFill>
            </a:ln>
          </c:spPr>
          <c:invertIfNegative val="0"/>
          <c:dPt>
            <c:idx val="0"/>
            <c:invertIfNegative val="0"/>
            <c:bubble3D val="0"/>
            <c:extLst>
              <c:ext xmlns:c16="http://schemas.microsoft.com/office/drawing/2014/chart" uri="{C3380CC4-5D6E-409C-BE32-E72D297353CC}">
                <c16:uniqueId val="{00000000-303D-486E-8855-78756431F78F}"/>
              </c:ext>
            </c:extLst>
          </c:dPt>
          <c:dPt>
            <c:idx val="1"/>
            <c:invertIfNegative val="0"/>
            <c:bubble3D val="0"/>
            <c:extLst>
              <c:ext xmlns:c16="http://schemas.microsoft.com/office/drawing/2014/chart" uri="{C3380CC4-5D6E-409C-BE32-E72D297353CC}">
                <c16:uniqueId val="{00000001-303D-486E-8855-78756431F78F}"/>
              </c:ext>
            </c:extLst>
          </c:dPt>
          <c:dPt>
            <c:idx val="2"/>
            <c:invertIfNegative val="0"/>
            <c:bubble3D val="0"/>
            <c:extLst>
              <c:ext xmlns:c16="http://schemas.microsoft.com/office/drawing/2014/chart" uri="{C3380CC4-5D6E-409C-BE32-E72D297353CC}">
                <c16:uniqueId val="{00000002-303D-486E-8855-78756431F78F}"/>
              </c:ext>
            </c:extLst>
          </c:dPt>
          <c:dPt>
            <c:idx val="3"/>
            <c:invertIfNegative val="0"/>
            <c:bubble3D val="0"/>
            <c:extLst>
              <c:ext xmlns:c16="http://schemas.microsoft.com/office/drawing/2014/chart" uri="{C3380CC4-5D6E-409C-BE32-E72D297353CC}">
                <c16:uniqueId val="{00000003-303D-486E-8855-78756431F78F}"/>
              </c:ext>
            </c:extLst>
          </c:dPt>
          <c:dPt>
            <c:idx val="4"/>
            <c:invertIfNegative val="0"/>
            <c:bubble3D val="0"/>
            <c:extLst>
              <c:ext xmlns:c16="http://schemas.microsoft.com/office/drawing/2014/chart" uri="{C3380CC4-5D6E-409C-BE32-E72D297353CC}">
                <c16:uniqueId val="{00000004-303D-486E-8855-78756431F78F}"/>
              </c:ext>
            </c:extLst>
          </c:dPt>
          <c:dPt>
            <c:idx val="5"/>
            <c:invertIfNegative val="0"/>
            <c:bubble3D val="0"/>
            <c:extLst>
              <c:ext xmlns:c16="http://schemas.microsoft.com/office/drawing/2014/chart" uri="{C3380CC4-5D6E-409C-BE32-E72D297353CC}">
                <c16:uniqueId val="{00000005-303D-486E-8855-78756431F78F}"/>
              </c:ext>
            </c:extLst>
          </c:dPt>
          <c:dPt>
            <c:idx val="6"/>
            <c:invertIfNegative val="0"/>
            <c:bubble3D val="0"/>
            <c:extLst>
              <c:ext xmlns:c16="http://schemas.microsoft.com/office/drawing/2014/chart" uri="{C3380CC4-5D6E-409C-BE32-E72D297353CC}">
                <c16:uniqueId val="{00000006-303D-486E-8855-78756431F78F}"/>
              </c:ext>
            </c:extLst>
          </c:dPt>
          <c:dLbls>
            <c:dLbl>
              <c:idx val="0"/>
              <c:tx>
                <c:rich>
                  <a:bodyPr horzOverflow="overflow">
                    <a:spAutoFit/>
                  </a:bodyPr>
                  <a:lstStyle/>
                  <a:p>
                    <a:pPr>
                      <a:defRPr/>
                    </a:pPr>
                    <a:r>
                      <a:rPr lang="en-US" altLang="ja-JP" sz="600" baseline="0">
                        <a:solidFill>
                          <a:schemeClr val="tx1"/>
                        </a:solidFill>
                      </a:rPr>
                      <a:t>54</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03D-486E-8855-78756431F78F}"/>
                </c:ext>
              </c:extLst>
            </c:dLbl>
            <c:dLbl>
              <c:idx val="1"/>
              <c:tx>
                <c:rich>
                  <a:bodyPr horzOverflow="overflow">
                    <a:spAutoFit/>
                  </a:bodyPr>
                  <a:lstStyle/>
                  <a:p>
                    <a:pPr>
                      <a:defRPr/>
                    </a:pPr>
                    <a:r>
                      <a:rPr lang="en-US" altLang="ja-JP" sz="600" baseline="0">
                        <a:solidFill>
                          <a:schemeClr val="tx1"/>
                        </a:solidFill>
                      </a:rPr>
                      <a:t>66</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03D-486E-8855-78756431F78F}"/>
                </c:ext>
              </c:extLst>
            </c:dLbl>
            <c:dLbl>
              <c:idx val="2"/>
              <c:tx>
                <c:rich>
                  <a:bodyPr horzOverflow="overflow">
                    <a:spAutoFit/>
                  </a:bodyPr>
                  <a:lstStyle/>
                  <a:p>
                    <a:pPr>
                      <a:defRPr/>
                    </a:pPr>
                    <a:r>
                      <a:rPr lang="en-US" altLang="ja-JP" sz="600" baseline="0">
                        <a:solidFill>
                          <a:schemeClr val="tx1"/>
                        </a:solidFill>
                      </a:rPr>
                      <a:t>80</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03D-486E-8855-78756431F78F}"/>
                </c:ext>
              </c:extLst>
            </c:dLbl>
            <c:dLbl>
              <c:idx val="3"/>
              <c:tx>
                <c:rich>
                  <a:bodyPr horzOverflow="overflow">
                    <a:spAutoFit/>
                  </a:bodyPr>
                  <a:lstStyle/>
                  <a:p>
                    <a:pPr>
                      <a:defRPr/>
                    </a:pPr>
                    <a:r>
                      <a:rPr lang="en-US" altLang="ja-JP" sz="600" baseline="0">
                        <a:solidFill>
                          <a:schemeClr val="tx1"/>
                        </a:solidFill>
                      </a:rPr>
                      <a:t>101</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03D-486E-8855-78756431F78F}"/>
                </c:ext>
              </c:extLst>
            </c:dLbl>
            <c:dLbl>
              <c:idx val="4"/>
              <c:tx>
                <c:rich>
                  <a:bodyPr horzOverflow="overflow">
                    <a:spAutoFit/>
                  </a:bodyPr>
                  <a:lstStyle/>
                  <a:p>
                    <a:pPr>
                      <a:defRPr/>
                    </a:pPr>
                    <a:r>
                      <a:rPr lang="en-US" altLang="ja-JP" sz="600" baseline="0">
                        <a:solidFill>
                          <a:schemeClr val="tx1"/>
                        </a:solidFill>
                      </a:rPr>
                      <a:t>120</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03D-486E-8855-78756431F78F}"/>
                </c:ext>
              </c:extLst>
            </c:dLbl>
            <c:dLbl>
              <c:idx val="5"/>
              <c:tx>
                <c:rich>
                  <a:bodyPr horzOverflow="overflow">
                    <a:spAutoFit/>
                  </a:bodyPr>
                  <a:lstStyle/>
                  <a:p>
                    <a:pPr>
                      <a:defRPr/>
                    </a:pPr>
                    <a:r>
                      <a:rPr lang="en-US" altLang="ja-JP" sz="600" baseline="0">
                        <a:solidFill>
                          <a:schemeClr val="tx1"/>
                        </a:solidFill>
                      </a:rPr>
                      <a:t>131</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03D-486E-8855-78756431F78F}"/>
                </c:ext>
              </c:extLst>
            </c:dLbl>
            <c:dLbl>
              <c:idx val="6"/>
              <c:tx>
                <c:rich>
                  <a:bodyPr horzOverflow="overflow">
                    <a:spAutoFit/>
                  </a:bodyPr>
                  <a:lstStyle/>
                  <a:p>
                    <a:pPr>
                      <a:defRPr/>
                    </a:pPr>
                    <a:r>
                      <a:rPr lang="en-US" altLang="ja-JP" sz="600" baseline="0">
                        <a:solidFill>
                          <a:schemeClr val="tx1"/>
                        </a:solidFill>
                      </a:rPr>
                      <a:t>130</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03D-486E-8855-78756431F78F}"/>
                </c:ext>
              </c:extLst>
            </c:dLbl>
            <c:spPr>
              <a:noFill/>
              <a:ln>
                <a:noFill/>
              </a:ln>
              <a:effectLst/>
            </c:spPr>
            <c:txPr>
              <a:bodyPr rot="0" horzOverflow="overflow" wrap="square" lIns="38100" tIns="19050" rIns="38100" bIns="19050" anchor="ctr" anchorCtr="1">
                <a:spAutoFit/>
              </a:bodyPr>
              <a:lstStyle/>
              <a:p>
                <a:pPr algn="ctr" rtl="0">
                  <a:defRPr sz="600" baseline="0">
                    <a:solidFill>
                      <a:schemeClr val="tx1"/>
                    </a:solidFill>
                  </a:defRPr>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要約掲載図表!$A$82:$A$88</c:f>
              <c:strCache>
                <c:ptCount val="7"/>
                <c:pt idx="0">
                  <c:v>昭和
63年</c:v>
                </c:pt>
                <c:pt idx="1">
                  <c:v>平成
 5年</c:v>
                </c:pt>
                <c:pt idx="2">
                  <c:v>10年</c:v>
                </c:pt>
                <c:pt idx="3">
                  <c:v>15年</c:v>
                </c:pt>
                <c:pt idx="4">
                  <c:v>20年</c:v>
                </c:pt>
                <c:pt idx="5">
                  <c:v>25年</c:v>
                </c:pt>
                <c:pt idx="6">
                  <c:v>30年</c:v>
                </c:pt>
              </c:strCache>
            </c:strRef>
          </c:cat>
          <c:val>
            <c:numRef>
              <c:f>要約掲載図表!$B$82:$B$88</c:f>
              <c:numCache>
                <c:formatCode>0.0</c:formatCode>
                <c:ptCount val="7"/>
                <c:pt idx="0">
                  <c:v>54</c:v>
                </c:pt>
                <c:pt idx="1">
                  <c:v>66.2</c:v>
                </c:pt>
                <c:pt idx="2">
                  <c:v>80.099999999999994</c:v>
                </c:pt>
                <c:pt idx="3">
                  <c:v>101.3</c:v>
                </c:pt>
                <c:pt idx="4">
                  <c:v>120.4</c:v>
                </c:pt>
                <c:pt idx="5">
                  <c:v>131</c:v>
                </c:pt>
                <c:pt idx="6">
                  <c:v>130.1</c:v>
                </c:pt>
              </c:numCache>
            </c:numRef>
          </c:val>
          <c:extLst>
            <c:ext xmlns:c16="http://schemas.microsoft.com/office/drawing/2014/chart" uri="{C3380CC4-5D6E-409C-BE32-E72D297353CC}">
              <c16:uniqueId val="{00000007-303D-486E-8855-78756431F78F}"/>
            </c:ext>
          </c:extLst>
        </c:ser>
        <c:dLbls>
          <c:showLegendKey val="0"/>
          <c:showVal val="0"/>
          <c:showCatName val="0"/>
          <c:showSerName val="0"/>
          <c:showPercent val="0"/>
          <c:showBubbleSize val="0"/>
        </c:dLbls>
        <c:gapWidth val="70"/>
        <c:axId val="1"/>
        <c:axId val="2"/>
      </c:barChart>
      <c:lineChart>
        <c:grouping val="standard"/>
        <c:varyColors val="0"/>
        <c:ser>
          <c:idx val="1"/>
          <c:order val="1"/>
          <c:tx>
            <c:strRef>
              <c:f>要約掲載図表!$C$81</c:f>
              <c:strCache>
                <c:ptCount val="1"/>
                <c:pt idx="0">
                  <c:v>秋田県</c:v>
                </c:pt>
              </c:strCache>
            </c:strRef>
          </c:tx>
          <c:spPr>
            <a:ln w="12700">
              <a:solidFill>
                <a:srgbClr xmlns:mc="http://schemas.openxmlformats.org/markup-compatibility/2006" xmlns:a14="http://schemas.microsoft.com/office/drawing/2010/main" val="000000" mc:Ignorable="a14" a14:legacySpreadsheetColorIndex="64"/>
              </a:solidFill>
            </a:ln>
          </c:spPr>
          <c:marker>
            <c:symbol val="square"/>
            <c:size val="5"/>
            <c:spPr>
              <a:solidFill>
                <a:schemeClr val="tx1"/>
              </a:solidFill>
              <a:ln>
                <a:solidFill>
                  <a:srgbClr val="4BACC6"/>
                </a:solidFill>
              </a:ln>
            </c:spPr>
          </c:marker>
          <c:dLbls>
            <c:spPr>
              <a:noFill/>
              <a:ln>
                <a:noFill/>
              </a:ln>
              <a:effectLst/>
            </c:spPr>
            <c:txPr>
              <a:bodyPr rot="0" horzOverflow="overflow" wrap="square" lIns="38100" tIns="19050" rIns="38100" bIns="19050" anchor="ctr" anchorCtr="1">
                <a:spAutoFit/>
              </a:bodyPr>
              <a:lstStyle/>
              <a:p>
                <a:pPr algn="ctr" rtl="0">
                  <a:defRPr sz="600" baseline="0">
                    <a:solidFill>
                      <a:schemeClr val="tx1"/>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要約掲載図表!$A$82:$A$88</c:f>
              <c:strCache>
                <c:ptCount val="7"/>
                <c:pt idx="0">
                  <c:v>昭和
63年</c:v>
                </c:pt>
                <c:pt idx="1">
                  <c:v>平成
 5年</c:v>
                </c:pt>
                <c:pt idx="2">
                  <c:v>10年</c:v>
                </c:pt>
                <c:pt idx="3">
                  <c:v>15年</c:v>
                </c:pt>
                <c:pt idx="4">
                  <c:v>20年</c:v>
                </c:pt>
                <c:pt idx="5">
                  <c:v>25年</c:v>
                </c:pt>
                <c:pt idx="6">
                  <c:v>30年</c:v>
                </c:pt>
              </c:strCache>
            </c:strRef>
          </c:cat>
          <c:val>
            <c:numRef>
              <c:f>要約掲載図表!$C$82:$C$88</c:f>
              <c:numCache>
                <c:formatCode>0.0</c:formatCode>
                <c:ptCount val="7"/>
                <c:pt idx="0">
                  <c:v>15.915119363395224</c:v>
                </c:pt>
                <c:pt idx="1">
                  <c:v>18.838929994308483</c:v>
                </c:pt>
                <c:pt idx="2">
                  <c:v>21.434305592721433</c:v>
                </c:pt>
                <c:pt idx="3">
                  <c:v>26.497515040544073</c:v>
                </c:pt>
                <c:pt idx="4">
                  <c:v>31.659216408098867</c:v>
                </c:pt>
                <c:pt idx="5">
                  <c:v>33.676092544987149</c:v>
                </c:pt>
                <c:pt idx="6">
                  <c:v>33.897863399999999</c:v>
                </c:pt>
              </c:numCache>
            </c:numRef>
          </c:val>
          <c:smooth val="0"/>
          <c:extLst>
            <c:ext xmlns:c16="http://schemas.microsoft.com/office/drawing/2014/chart" uri="{C3380CC4-5D6E-409C-BE32-E72D297353CC}">
              <c16:uniqueId val="{00000008-303D-486E-8855-78756431F78F}"/>
            </c:ext>
          </c:extLst>
        </c:ser>
        <c:ser>
          <c:idx val="2"/>
          <c:order val="2"/>
          <c:tx>
            <c:strRef>
              <c:f>要約掲載図表!$D$81</c:f>
              <c:strCache>
                <c:ptCount val="1"/>
                <c:pt idx="0">
                  <c:v>全　国</c:v>
                </c:pt>
              </c:strCache>
            </c:strRef>
          </c:tx>
          <c:spPr>
            <a:ln w="12700">
              <a:solidFill>
                <a:schemeClr val="tx1"/>
              </a:solidFill>
              <a:prstDash val="dash"/>
            </a:ln>
          </c:spPr>
          <c:marker>
            <c:symbol val="triangle"/>
            <c:size val="5"/>
            <c:spPr>
              <a:solidFill>
                <a:schemeClr val="tx1"/>
              </a:solidFill>
              <a:ln>
                <a:solidFill>
                  <a:srgbClr val="4BACC6"/>
                </a:solidFill>
              </a:ln>
            </c:spPr>
          </c:marker>
          <c:dLbls>
            <c:spPr>
              <a:noFill/>
              <a:ln>
                <a:noFill/>
              </a:ln>
              <a:effectLst/>
            </c:spPr>
            <c:txPr>
              <a:bodyPr rot="0" horzOverflow="overflow" wrap="square" lIns="38100" tIns="19050" rIns="38100" bIns="19050" anchor="ctr" anchorCtr="1">
                <a:spAutoFit/>
              </a:bodyPr>
              <a:lstStyle/>
              <a:p>
                <a:pPr algn="ctr" rtl="0">
                  <a:defRPr sz="600" baseline="0">
                    <a:solidFill>
                      <a:schemeClr val="tx1"/>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要約掲載図表!$A$82:$A$88</c:f>
              <c:strCache>
                <c:ptCount val="7"/>
                <c:pt idx="0">
                  <c:v>昭和
63年</c:v>
                </c:pt>
                <c:pt idx="1">
                  <c:v>平成
 5年</c:v>
                </c:pt>
                <c:pt idx="2">
                  <c:v>10年</c:v>
                </c:pt>
                <c:pt idx="3">
                  <c:v>15年</c:v>
                </c:pt>
                <c:pt idx="4">
                  <c:v>20年</c:v>
                </c:pt>
                <c:pt idx="5">
                  <c:v>25年</c:v>
                </c:pt>
                <c:pt idx="6">
                  <c:v>30年</c:v>
                </c:pt>
              </c:strCache>
            </c:strRef>
          </c:cat>
          <c:val>
            <c:numRef>
              <c:f>要約掲載図表!$D$82:$D$88</c:f>
              <c:numCache>
                <c:formatCode>0.0</c:formatCode>
                <c:ptCount val="7"/>
                <c:pt idx="0">
                  <c:v>11.7</c:v>
                </c:pt>
                <c:pt idx="1">
                  <c:v>12.9</c:v>
                </c:pt>
                <c:pt idx="2">
                  <c:v>14.4</c:v>
                </c:pt>
                <c:pt idx="3">
                  <c:v>17</c:v>
                </c:pt>
                <c:pt idx="4">
                  <c:v>18.8</c:v>
                </c:pt>
                <c:pt idx="5">
                  <c:v>21.1</c:v>
                </c:pt>
                <c:pt idx="6">
                  <c:v>22.8</c:v>
                </c:pt>
              </c:numCache>
            </c:numRef>
          </c:val>
          <c:smooth val="0"/>
          <c:extLst>
            <c:ext xmlns:c16="http://schemas.microsoft.com/office/drawing/2014/chart" uri="{C3380CC4-5D6E-409C-BE32-E72D297353CC}">
              <c16:uniqueId val="{00000009-303D-486E-8855-78756431F78F}"/>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0"/>
        <c:majorTickMark val="in"/>
        <c:minorTickMark val="none"/>
        <c:tickLblPos val="nextTo"/>
        <c:spPr>
          <a:ln>
            <a:solidFill>
              <a:schemeClr val="tx1"/>
            </a:solidFill>
          </a:ln>
        </c:spPr>
        <c:txPr>
          <a:bodyPr horzOverflow="overflow" anchor="ctr" anchorCtr="1"/>
          <a:lstStyle/>
          <a:p>
            <a:pPr algn="ctr" rtl="0">
              <a:defRPr sz="600">
                <a:solidFill>
                  <a:schemeClr val="tx1"/>
                </a:solidFill>
              </a:defRPr>
            </a:pPr>
            <a:endParaRPr lang="ja-JP"/>
          </a:p>
        </c:txPr>
        <c:crossAx val="2"/>
        <c:crosses val="autoZero"/>
        <c:auto val="1"/>
        <c:lblAlgn val="ctr"/>
        <c:lblOffset val="100"/>
        <c:noMultiLvlLbl val="0"/>
      </c:catAx>
      <c:valAx>
        <c:axId val="2"/>
        <c:scaling>
          <c:orientation val="minMax"/>
          <c:max val="150"/>
        </c:scaling>
        <c:delete val="0"/>
        <c:axPos val="l"/>
        <c:title>
          <c:tx>
            <c:rich>
              <a:bodyPr rot="0" horzOverflow="overflow" anchor="ctr" anchorCtr="1"/>
              <a:lstStyle/>
              <a:p>
                <a:pPr algn="ctr" rtl="0">
                  <a:defRPr sz="600" i="0" u="none" strike="noStrike" baseline="0">
                    <a:solidFill>
                      <a:schemeClr val="tx1"/>
                    </a:solidFill>
                    <a:latin typeface="+mj-ea"/>
                    <a:ea typeface="+mj-ea"/>
                  </a:defRPr>
                </a:pPr>
                <a:r>
                  <a:rPr lang="ja-JP" altLang="en-US" sz="600" b="1" i="0" u="none" strike="noStrike" baseline="0">
                    <a:solidFill>
                      <a:schemeClr val="tx1"/>
                    </a:solidFill>
                    <a:latin typeface="+mj-ea"/>
                    <a:ea typeface="+mj-ea"/>
                  </a:rPr>
                  <a:t>（千世帯）</a:t>
                </a:r>
              </a:p>
            </c:rich>
          </c:tx>
          <c:layout>
            <c:manualLayout>
              <c:xMode val="edge"/>
              <c:yMode val="edge"/>
              <c:x val="8.2687367259304603E-3"/>
              <c:y val="4.8962167021939937E-2"/>
            </c:manualLayout>
          </c:layout>
          <c:overlay val="0"/>
        </c:title>
        <c:numFmt formatCode="#,##0_);[Red]\(#,##0\)" sourceLinked="0"/>
        <c:majorTickMark val="in"/>
        <c:minorTickMark val="none"/>
        <c:tickLblPos val="nextTo"/>
        <c:spPr>
          <a:ln>
            <a:solidFill>
              <a:schemeClr val="tx1"/>
            </a:solidFill>
          </a:ln>
        </c:spPr>
        <c:txPr>
          <a:bodyPr horzOverflow="overflow" anchor="ctr" anchorCtr="1"/>
          <a:lstStyle/>
          <a:p>
            <a:pPr algn="ctr" rtl="0">
              <a:defRPr sz="700">
                <a:solidFill>
                  <a:schemeClr val="tx1"/>
                </a:solidFill>
              </a:defRPr>
            </a:pPr>
            <a:endParaRPr lang="ja-JP"/>
          </a:p>
        </c:txPr>
        <c:crossAx val="1"/>
        <c:crosses val="autoZero"/>
        <c:crossBetween val="between"/>
        <c:majorUnit val="50"/>
      </c:valAx>
      <c:catAx>
        <c:axId val="11"/>
        <c:scaling>
          <c:orientation val="minMax"/>
        </c:scaling>
        <c:delete val="1"/>
        <c:axPos val="b"/>
        <c:numFmt formatCode="General" sourceLinked="1"/>
        <c:majorTickMark val="out"/>
        <c:minorTickMark val="none"/>
        <c:tickLblPos val="nextTo"/>
        <c:crossAx val="12"/>
        <c:crosses val="autoZero"/>
        <c:auto val="1"/>
        <c:lblAlgn val="ctr"/>
        <c:lblOffset val="100"/>
        <c:noMultiLvlLbl val="0"/>
      </c:catAx>
      <c:valAx>
        <c:axId val="12"/>
        <c:scaling>
          <c:orientation val="minMax"/>
        </c:scaling>
        <c:delete val="0"/>
        <c:axPos val="r"/>
        <c:title>
          <c:tx>
            <c:rich>
              <a:bodyPr horzOverflow="overflow" vert="wordArtVertRtl" anchor="ctr" anchorCtr="1"/>
              <a:lstStyle/>
              <a:p>
                <a:pPr algn="ctr" rtl="0">
                  <a:defRPr sz="600" i="0" u="none" strike="noStrike" baseline="0">
                    <a:solidFill>
                      <a:schemeClr val="tx1"/>
                    </a:solidFill>
                    <a:latin typeface="+mj-ea"/>
                    <a:ea typeface="+mj-ea"/>
                  </a:defRPr>
                </a:pPr>
                <a:r>
                  <a:rPr lang="ja-JP" altLang="en-US" sz="600" b="1" i="0" u="none" strike="noStrike" baseline="0">
                    <a:solidFill>
                      <a:schemeClr val="tx1"/>
                    </a:solidFill>
                    <a:latin typeface="+mj-ea"/>
                    <a:ea typeface="+mj-ea"/>
                  </a:rPr>
                  <a:t>主世帯に占める割合（％）</a:t>
                </a:r>
              </a:p>
            </c:rich>
          </c:tx>
          <c:layout>
            <c:manualLayout>
              <c:xMode val="edge"/>
              <c:yMode val="edge"/>
              <c:x val="0.94438811756304308"/>
              <c:y val="0.20645814300836704"/>
            </c:manualLayout>
          </c:layout>
          <c:overlay val="0"/>
        </c:title>
        <c:numFmt formatCode="#,##0_);[Red]\(#,##0\)" sourceLinked="0"/>
        <c:majorTickMark val="in"/>
        <c:minorTickMark val="none"/>
        <c:tickLblPos val="nextTo"/>
        <c:spPr>
          <a:ln>
            <a:solidFill>
              <a:schemeClr val="tx1"/>
            </a:solidFill>
          </a:ln>
        </c:spPr>
        <c:txPr>
          <a:bodyPr horzOverflow="overflow" anchor="ctr" anchorCtr="1"/>
          <a:lstStyle/>
          <a:p>
            <a:pPr algn="ctr" rtl="0">
              <a:defRPr sz="700" baseline="0">
                <a:solidFill>
                  <a:schemeClr val="tx1"/>
                </a:solidFill>
              </a:defRPr>
            </a:pPr>
            <a:endParaRPr lang="ja-JP"/>
          </a:p>
        </c:txPr>
        <c:crossAx val="11"/>
        <c:crosses val="max"/>
        <c:crossBetween val="between"/>
      </c:valAx>
      <c:spPr>
        <a:ln>
          <a:solidFill>
            <a:srgbClr xmlns:mc="http://schemas.openxmlformats.org/markup-compatibility/2006" xmlns:a14="http://schemas.microsoft.com/office/drawing/2010/main" val="000000" mc:Ignorable="a14" a14:legacySpreadsheetColorIndex="64"/>
          </a:solidFill>
        </a:ln>
      </c:spPr>
    </c:plotArea>
    <c:legend>
      <c:legendPos val="r"/>
      <c:legendEntry>
        <c:idx val="0"/>
        <c:delete val="1"/>
      </c:legendEntry>
      <c:layout>
        <c:manualLayout>
          <c:xMode val="edge"/>
          <c:yMode val="edge"/>
          <c:x val="0.13177463158875943"/>
          <c:y val="0.1437426951465321"/>
          <c:w val="0.25975605997078782"/>
          <c:h val="0.1240735031032747"/>
        </c:manualLayout>
      </c:layout>
      <c:overlay val="0"/>
      <c:spPr>
        <a:solidFill>
          <a:schemeClr val="bg1"/>
        </a:solidFill>
        <a:ln>
          <a:solidFill>
            <a:schemeClr val="tx1"/>
          </a:solidFill>
        </a:ln>
      </c:spPr>
      <c:txPr>
        <a:bodyPr horzOverflow="overflow" anchor="ctr" anchorCtr="1"/>
        <a:lstStyle/>
        <a:p>
          <a:pPr algn="l" rtl="0">
            <a:defRPr sz="600" baseline="0">
              <a:solidFill>
                <a:schemeClr val="tx1"/>
              </a:solidFill>
              <a:latin typeface="+mj-ea"/>
              <a:ea typeface="+mj-ea"/>
            </a:defRPr>
          </a:pPr>
          <a:endParaRPr lang="ja-JP"/>
        </a:p>
      </c:txPr>
    </c:legend>
    <c:plotVisOnly val="1"/>
    <c:dispBlanksAs val="gap"/>
    <c:showDLblsOverMax val="0"/>
  </c:chart>
  <c:spPr>
    <a:ln>
      <a:solidFill>
        <a:schemeClr val="tx1"/>
      </a:solidFill>
    </a:ln>
  </c:spPr>
  <c:txPr>
    <a:bodyPr anchor="ctr" anchorCtr="1"/>
    <a:lstStyle/>
    <a:p>
      <a:pPr algn="ctr" rtl="0">
        <a:defRPr lang="ja-JP" altLang="en-US" sz="1000">
          <a:solidFill>
            <a:schemeClr val="tx1"/>
          </a:solidFill>
        </a:defRPr>
      </a:pPr>
      <a:endParaRPr lang="ja-JP"/>
    </a:p>
  </c:txPr>
  <c:externalData r:id="rId2">
    <c:autoUpdate val="0"/>
  </c:externalData>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600" i="0" u="none" strike="noStrike" baseline="0">
                <a:solidFill>
                  <a:schemeClr val="tx1"/>
                </a:solidFill>
              </a:defRPr>
            </a:pPr>
            <a:r>
              <a:rPr lang="ja-JP" altLang="en-US" sz="600" b="1" i="0" u="none" strike="noStrike" baseline="0">
                <a:solidFill>
                  <a:schemeClr val="tx1"/>
                </a:solidFill>
                <a:latin typeface="+mj-ea"/>
                <a:ea typeface="+mj-ea"/>
              </a:rPr>
              <a:t>高齢者のいる世帯の推移</a:t>
            </a:r>
            <a:endParaRPr lang="en-US" altLang="en-US" sz="600" b="1" i="0" u="none" strike="noStrike" baseline="0">
              <a:solidFill>
                <a:schemeClr val="tx1"/>
              </a:solidFill>
              <a:latin typeface="+mj-ea"/>
              <a:ea typeface="+mj-ea"/>
            </a:endParaRPr>
          </a:p>
          <a:p>
            <a:pPr algn="ctr" rtl="0">
              <a:defRPr sz="600" i="0" u="none" strike="noStrike" baseline="0">
                <a:solidFill>
                  <a:schemeClr val="tx1"/>
                </a:solidFill>
              </a:defRPr>
            </a:pPr>
            <a:r>
              <a:rPr lang="ja-JP" altLang="en-US" sz="600" b="1" i="0" u="none" strike="noStrike" baseline="0">
                <a:solidFill>
                  <a:schemeClr val="tx1"/>
                </a:solidFill>
                <a:latin typeface="+mj-ea"/>
                <a:ea typeface="+mj-ea"/>
              </a:rPr>
              <a:t>全国、秋田県（昭和</a:t>
            </a:r>
            <a:r>
              <a:rPr lang="en-US" altLang="ja-JP" sz="600" b="1" i="0" u="none" strike="noStrike" baseline="0">
                <a:solidFill>
                  <a:schemeClr val="tx1"/>
                </a:solidFill>
                <a:latin typeface="+mj-ea"/>
                <a:ea typeface="+mj-ea"/>
              </a:rPr>
              <a:t>63</a:t>
            </a:r>
            <a:r>
              <a:rPr lang="ja-JP" altLang="en-US" sz="600" b="1" i="0" u="none" strike="noStrike" baseline="0">
                <a:solidFill>
                  <a:schemeClr val="tx1"/>
                </a:solidFill>
                <a:latin typeface="+mj-ea"/>
                <a:ea typeface="+mj-ea"/>
              </a:rPr>
              <a:t>年～平成</a:t>
            </a:r>
            <a:r>
              <a:rPr lang="en-US" altLang="ja-JP" sz="600" b="1" i="0" u="none" strike="noStrike" baseline="0">
                <a:solidFill>
                  <a:schemeClr val="tx1"/>
                </a:solidFill>
                <a:latin typeface="+mj-ea"/>
                <a:ea typeface="+mj-ea"/>
              </a:rPr>
              <a:t>30</a:t>
            </a:r>
            <a:r>
              <a:rPr lang="ja-JP" altLang="en-US" sz="600" b="1" i="0" u="none" strike="noStrike" baseline="0">
                <a:solidFill>
                  <a:schemeClr val="tx1"/>
                </a:solidFill>
                <a:latin typeface="+mj-ea"/>
                <a:ea typeface="+mj-ea"/>
              </a:rPr>
              <a:t>年）</a:t>
            </a:r>
          </a:p>
        </c:rich>
      </c:tx>
      <c:layout>
        <c:manualLayout>
          <c:xMode val="edge"/>
          <c:yMode val="edge"/>
          <c:x val="0.25352930883639546"/>
          <c:y val="0"/>
        </c:manualLayout>
      </c:layout>
      <c:overlay val="1"/>
    </c:title>
    <c:autoTitleDeleted val="0"/>
    <c:plotArea>
      <c:layout>
        <c:manualLayout>
          <c:layoutTarget val="inner"/>
          <c:xMode val="edge"/>
          <c:yMode val="edge"/>
          <c:x val="0.11551748609615432"/>
          <c:y val="0.16617627422783604"/>
          <c:w val="0.75279413660387073"/>
          <c:h val="0.66682901009891427"/>
        </c:manualLayout>
      </c:layout>
      <c:barChart>
        <c:barDir val="col"/>
        <c:grouping val="clustered"/>
        <c:varyColors val="0"/>
        <c:ser>
          <c:idx val="0"/>
          <c:order val="0"/>
          <c:tx>
            <c:strRef>
              <c:f>要約掲載図表!$B$69</c:f>
              <c:strCache>
                <c:ptCount val="1"/>
                <c:pt idx="0">
                  <c:v>高齢者のいる世帯数（千世帯）</c:v>
                </c:pt>
              </c:strCache>
            </c:strRef>
          </c:tx>
          <c:spPr>
            <a:pattFill prst="pct25">
              <a:fgClr>
                <a:schemeClr val="accent5"/>
              </a:fgClr>
              <a:bgClr>
                <a:schemeClr val="bg1"/>
              </a:bgClr>
            </a:pattFill>
            <a:ln>
              <a:solidFill>
                <a:srgbClr xmlns:mc="http://schemas.openxmlformats.org/markup-compatibility/2006" xmlns:a14="http://schemas.microsoft.com/office/drawing/2010/main" val="000000" mc:Ignorable="a14" a14:legacySpreadsheetColorIndex="64"/>
              </a:solidFill>
            </a:ln>
          </c:spPr>
          <c:invertIfNegative val="0"/>
          <c:dPt>
            <c:idx val="0"/>
            <c:invertIfNegative val="0"/>
            <c:bubble3D val="0"/>
            <c:extLst>
              <c:ext xmlns:c16="http://schemas.microsoft.com/office/drawing/2014/chart" uri="{C3380CC4-5D6E-409C-BE32-E72D297353CC}">
                <c16:uniqueId val="{00000000-0E3F-4238-B068-5B646C32225A}"/>
              </c:ext>
            </c:extLst>
          </c:dPt>
          <c:dPt>
            <c:idx val="1"/>
            <c:invertIfNegative val="0"/>
            <c:bubble3D val="0"/>
            <c:extLst>
              <c:ext xmlns:c16="http://schemas.microsoft.com/office/drawing/2014/chart" uri="{C3380CC4-5D6E-409C-BE32-E72D297353CC}">
                <c16:uniqueId val="{00000001-0E3F-4238-B068-5B646C32225A}"/>
              </c:ext>
            </c:extLst>
          </c:dPt>
          <c:dPt>
            <c:idx val="2"/>
            <c:invertIfNegative val="0"/>
            <c:bubble3D val="0"/>
            <c:extLst>
              <c:ext xmlns:c16="http://schemas.microsoft.com/office/drawing/2014/chart" uri="{C3380CC4-5D6E-409C-BE32-E72D297353CC}">
                <c16:uniqueId val="{00000002-0E3F-4238-B068-5B646C32225A}"/>
              </c:ext>
            </c:extLst>
          </c:dPt>
          <c:dPt>
            <c:idx val="3"/>
            <c:invertIfNegative val="0"/>
            <c:bubble3D val="0"/>
            <c:extLst>
              <c:ext xmlns:c16="http://schemas.microsoft.com/office/drawing/2014/chart" uri="{C3380CC4-5D6E-409C-BE32-E72D297353CC}">
                <c16:uniqueId val="{00000003-0E3F-4238-B068-5B646C32225A}"/>
              </c:ext>
            </c:extLst>
          </c:dPt>
          <c:dPt>
            <c:idx val="4"/>
            <c:invertIfNegative val="0"/>
            <c:bubble3D val="0"/>
            <c:extLst>
              <c:ext xmlns:c16="http://schemas.microsoft.com/office/drawing/2014/chart" uri="{C3380CC4-5D6E-409C-BE32-E72D297353CC}">
                <c16:uniqueId val="{00000004-0E3F-4238-B068-5B646C32225A}"/>
              </c:ext>
            </c:extLst>
          </c:dPt>
          <c:dPt>
            <c:idx val="5"/>
            <c:invertIfNegative val="0"/>
            <c:bubble3D val="0"/>
            <c:extLst>
              <c:ext xmlns:c16="http://schemas.microsoft.com/office/drawing/2014/chart" uri="{C3380CC4-5D6E-409C-BE32-E72D297353CC}">
                <c16:uniqueId val="{00000005-0E3F-4238-B068-5B646C32225A}"/>
              </c:ext>
            </c:extLst>
          </c:dPt>
          <c:dPt>
            <c:idx val="6"/>
            <c:invertIfNegative val="0"/>
            <c:bubble3D val="0"/>
            <c:extLst>
              <c:ext xmlns:c16="http://schemas.microsoft.com/office/drawing/2014/chart" uri="{C3380CC4-5D6E-409C-BE32-E72D297353CC}">
                <c16:uniqueId val="{00000006-0E3F-4238-B068-5B646C32225A}"/>
              </c:ext>
            </c:extLst>
          </c:dPt>
          <c:dLbls>
            <c:dLbl>
              <c:idx val="0"/>
              <c:layout>
                <c:manualLayout>
                  <c:x val="-1.1013043767001366E-3"/>
                  <c:y val="0.23179568166470221"/>
                </c:manualLayout>
              </c:layout>
              <c:tx>
                <c:rich>
                  <a:bodyPr horzOverflow="overflow">
                    <a:spAutoFit/>
                  </a:bodyPr>
                  <a:lstStyle/>
                  <a:p>
                    <a:pPr>
                      <a:defRPr/>
                    </a:pPr>
                    <a:r>
                      <a:rPr lang="en-US" altLang="ja-JP" sz="600">
                        <a:solidFill>
                          <a:schemeClr val="tx1"/>
                        </a:solidFill>
                        <a:latin typeface="+mj-ea"/>
                        <a:ea typeface="+mj-ea"/>
                      </a:rPr>
                      <a:t>128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9.3755737655820084E-2"/>
                      <c:h val="9.2749012250685159E-2"/>
                    </c:manualLayout>
                  </c15:layout>
                  <c15:showDataLabelsRange val="0"/>
                </c:ext>
                <c:ext xmlns:c16="http://schemas.microsoft.com/office/drawing/2014/chart" uri="{C3380CC4-5D6E-409C-BE32-E72D297353CC}">
                  <c16:uniqueId val="{00000000-0E3F-4238-B068-5B646C32225A}"/>
                </c:ext>
              </c:extLst>
            </c:dLbl>
            <c:dLbl>
              <c:idx val="1"/>
              <c:layout>
                <c:manualLayout>
                  <c:x val="-4.1343675980171036E-3"/>
                  <c:y val="0.29889443162027379"/>
                </c:manualLayout>
              </c:layout>
              <c:tx>
                <c:rich>
                  <a:bodyPr horzOverflow="overflow">
                    <a:spAutoFit/>
                  </a:bodyPr>
                  <a:lstStyle/>
                  <a:p>
                    <a:pPr>
                      <a:defRPr/>
                    </a:pPr>
                    <a:r>
                      <a:rPr lang="en-US" altLang="ja-JP" sz="600">
                        <a:solidFill>
                          <a:schemeClr val="tx1"/>
                        </a:solidFill>
                        <a:latin typeface="+mj-ea"/>
                        <a:ea typeface="+mj-ea"/>
                      </a:rPr>
                      <a:t>152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E3F-4238-B068-5B646C32225A}"/>
                </c:ext>
              </c:extLst>
            </c:dLbl>
            <c:dLbl>
              <c:idx val="2"/>
              <c:layout>
                <c:manualLayout>
                  <c:x val="0"/>
                  <c:y val="0.35989329521624808"/>
                </c:manualLayout>
              </c:layout>
              <c:tx>
                <c:rich>
                  <a:bodyPr horzOverflow="overflow">
                    <a:spAutoFit/>
                  </a:bodyPr>
                  <a:lstStyle/>
                  <a:p>
                    <a:pPr>
                      <a:defRPr/>
                    </a:pPr>
                    <a:r>
                      <a:rPr lang="en-US" altLang="ja-JP" sz="600">
                        <a:solidFill>
                          <a:schemeClr val="tx1"/>
                        </a:solidFill>
                        <a:latin typeface="+mj-ea"/>
                        <a:ea typeface="+mj-ea"/>
                      </a:rPr>
                      <a:t>178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E3F-4238-B068-5B646C32225A}"/>
                </c:ext>
              </c:extLst>
            </c:dLbl>
            <c:dLbl>
              <c:idx val="3"/>
              <c:layout>
                <c:manualLayout>
                  <c:x val="4.1343675980170663E-3"/>
                  <c:y val="0.4086923860930276"/>
                </c:manualLayout>
              </c:layout>
              <c:tx>
                <c:rich>
                  <a:bodyPr horzOverflow="overflow">
                    <a:spAutoFit/>
                  </a:bodyPr>
                  <a:lstStyle/>
                  <a:p>
                    <a:pPr>
                      <a:defRPr/>
                    </a:pPr>
                    <a:r>
                      <a:rPr lang="en-US" altLang="ja-JP" sz="600">
                        <a:solidFill>
                          <a:schemeClr val="tx1"/>
                        </a:solidFill>
                        <a:latin typeface="+mj-ea"/>
                        <a:ea typeface="+mj-ea"/>
                      </a:rPr>
                      <a:t>195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E3F-4238-B068-5B646C32225A}"/>
                </c:ext>
              </c:extLst>
            </c:dLbl>
            <c:dLbl>
              <c:idx val="4"/>
              <c:layout>
                <c:manualLayout>
                  <c:x val="-7.5795863696694203E-17"/>
                  <c:y val="0.42699204517181988"/>
                </c:manualLayout>
              </c:layout>
              <c:tx>
                <c:rich>
                  <a:bodyPr horzOverflow="overflow">
                    <a:spAutoFit/>
                  </a:bodyPr>
                  <a:lstStyle/>
                  <a:p>
                    <a:pPr>
                      <a:defRPr/>
                    </a:pPr>
                    <a:r>
                      <a:rPr lang="en-US" altLang="ja-JP" sz="600">
                        <a:solidFill>
                          <a:schemeClr val="tx1"/>
                        </a:solidFill>
                        <a:latin typeface="+mj-ea"/>
                        <a:ea typeface="+mj-ea"/>
                      </a:rPr>
                      <a:t>206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E3F-4238-B068-5B646C32225A}"/>
                </c:ext>
              </c:extLst>
            </c:dLbl>
            <c:dLbl>
              <c:idx val="5"/>
              <c:layout>
                <c:manualLayout>
                  <c:x val="-1.5159172739338841E-16"/>
                  <c:y val="0.43919181789101475"/>
                </c:manualLayout>
              </c:layout>
              <c:tx>
                <c:rich>
                  <a:bodyPr horzOverflow="overflow">
                    <a:spAutoFit/>
                  </a:bodyPr>
                  <a:lstStyle/>
                  <a:p>
                    <a:pPr>
                      <a:defRPr/>
                    </a:pPr>
                    <a:r>
                      <a:rPr lang="en-US" altLang="ja-JP" sz="600">
                        <a:solidFill>
                          <a:schemeClr val="tx1"/>
                        </a:solidFill>
                        <a:latin typeface="+mj-ea"/>
                        <a:ea typeface="+mj-ea"/>
                      </a:rPr>
                      <a:t>213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E3F-4238-B068-5B646C32225A}"/>
                </c:ext>
              </c:extLst>
            </c:dLbl>
            <c:dLbl>
              <c:idx val="6"/>
              <c:layout>
                <c:manualLayout>
                  <c:x val="4.1343675980170663E-3"/>
                  <c:y val="0.45749147696980702"/>
                </c:manualLayout>
              </c:layout>
              <c:tx>
                <c:rich>
                  <a:bodyPr horzOverflow="overflow">
                    <a:spAutoFit/>
                  </a:bodyPr>
                  <a:lstStyle/>
                  <a:p>
                    <a:pPr>
                      <a:defRPr/>
                    </a:pPr>
                    <a:r>
                      <a:rPr lang="en-US" altLang="ja-JP" sz="600">
                        <a:solidFill>
                          <a:schemeClr val="tx1"/>
                        </a:solidFill>
                        <a:latin typeface="+mj-ea"/>
                        <a:ea typeface="+mj-ea"/>
                      </a:rPr>
                      <a:t>218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E3F-4238-B068-5B646C32225A}"/>
                </c:ext>
              </c:extLst>
            </c:dLbl>
            <c:spPr>
              <a:noFill/>
              <a:ln>
                <a:noFill/>
              </a:ln>
              <a:effectLst/>
            </c:spPr>
            <c:txPr>
              <a:bodyPr rot="0" anchor="ctr" anchorCtr="1">
                <a:spAutoFit/>
              </a:bodyPr>
              <a:lstStyle/>
              <a:p>
                <a:pPr algn="ctr" rtl="0">
                  <a:defRPr sz="6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要約掲載図表!$A$70:$A$76</c:f>
              <c:strCache>
                <c:ptCount val="7"/>
                <c:pt idx="0">
                  <c:v>昭和
63年</c:v>
                </c:pt>
                <c:pt idx="1">
                  <c:v>平成
 5年</c:v>
                </c:pt>
                <c:pt idx="2">
                  <c:v>10年</c:v>
                </c:pt>
                <c:pt idx="3">
                  <c:v>15年</c:v>
                </c:pt>
                <c:pt idx="4">
                  <c:v>20年</c:v>
                </c:pt>
                <c:pt idx="5">
                  <c:v>25年</c:v>
                </c:pt>
                <c:pt idx="6">
                  <c:v>30年</c:v>
                </c:pt>
              </c:strCache>
            </c:strRef>
          </c:cat>
          <c:val>
            <c:numRef>
              <c:f>要約掲載図表!$B$70:$B$76</c:f>
              <c:numCache>
                <c:formatCode>#,##0.000;[Red]\-#,##0.000</c:formatCode>
                <c:ptCount val="7"/>
                <c:pt idx="0">
                  <c:v>127.8</c:v>
                </c:pt>
                <c:pt idx="1">
                  <c:v>151.80000000000001</c:v>
                </c:pt>
                <c:pt idx="2">
                  <c:v>177.4</c:v>
                </c:pt>
                <c:pt idx="3">
                  <c:v>195.4</c:v>
                </c:pt>
                <c:pt idx="4">
                  <c:v>205.8</c:v>
                </c:pt>
                <c:pt idx="5">
                  <c:v>212.7</c:v>
                </c:pt>
                <c:pt idx="6">
                  <c:v>217.9</c:v>
                </c:pt>
              </c:numCache>
            </c:numRef>
          </c:val>
          <c:extLst>
            <c:ext xmlns:c16="http://schemas.microsoft.com/office/drawing/2014/chart" uri="{C3380CC4-5D6E-409C-BE32-E72D297353CC}">
              <c16:uniqueId val="{00000007-0E3F-4238-B068-5B646C32225A}"/>
            </c:ext>
          </c:extLst>
        </c:ser>
        <c:dLbls>
          <c:showLegendKey val="0"/>
          <c:showVal val="0"/>
          <c:showCatName val="0"/>
          <c:showSerName val="0"/>
          <c:showPercent val="0"/>
          <c:showBubbleSize val="0"/>
        </c:dLbls>
        <c:gapWidth val="58"/>
        <c:axId val="1"/>
        <c:axId val="2"/>
      </c:barChart>
      <c:lineChart>
        <c:grouping val="standard"/>
        <c:varyColors val="0"/>
        <c:ser>
          <c:idx val="1"/>
          <c:order val="1"/>
          <c:tx>
            <c:strRef>
              <c:f>要約掲載図表!$C$69</c:f>
              <c:strCache>
                <c:ptCount val="1"/>
                <c:pt idx="0">
                  <c:v>秋田県</c:v>
                </c:pt>
              </c:strCache>
            </c:strRef>
          </c:tx>
          <c:spPr>
            <a:ln w="12700">
              <a:solidFill>
                <a:srgbClr xmlns:mc="http://schemas.openxmlformats.org/markup-compatibility/2006" xmlns:a14="http://schemas.microsoft.com/office/drawing/2010/main" val="000000" mc:Ignorable="a14" a14:legacySpreadsheetColorIndex="64"/>
              </a:solidFill>
            </a:ln>
          </c:spPr>
          <c:marker>
            <c:symbol val="square"/>
            <c:size val="5"/>
            <c:spPr>
              <a:solidFill>
                <a:schemeClr val="tx1"/>
              </a:solidFill>
              <a:ln>
                <a:solidFill>
                  <a:srgbClr val="4BACC6"/>
                </a:solidFill>
              </a:ln>
            </c:spPr>
          </c:marker>
          <c:dPt>
            <c:idx val="1"/>
            <c:bubble3D val="0"/>
            <c:extLst>
              <c:ext xmlns:c16="http://schemas.microsoft.com/office/drawing/2014/chart" uri="{C3380CC4-5D6E-409C-BE32-E72D297353CC}">
                <c16:uniqueId val="{00000008-0E3F-4238-B068-5B646C32225A}"/>
              </c:ext>
            </c:extLst>
          </c:dPt>
          <c:dPt>
            <c:idx val="2"/>
            <c:bubble3D val="0"/>
            <c:extLst>
              <c:ext xmlns:c16="http://schemas.microsoft.com/office/drawing/2014/chart" uri="{C3380CC4-5D6E-409C-BE32-E72D297353CC}">
                <c16:uniqueId val="{00000009-0E3F-4238-B068-5B646C32225A}"/>
              </c:ext>
            </c:extLst>
          </c:dPt>
          <c:dLbls>
            <c:dLbl>
              <c:idx val="1"/>
              <c:layout>
                <c:manualLayout>
                  <c:x val="-6.6305164508765543E-2"/>
                  <c:y val="-6.8257728363895209E-2"/>
                </c:manualLayout>
              </c:layout>
              <c:spPr>
                <a:solidFill>
                  <a:schemeClr val="bg1"/>
                </a:solidFill>
                <a:ln>
                  <a:noFill/>
                </a:ln>
                <a:effectLst/>
              </c:spPr>
              <c:txPr>
                <a:bodyPr>
                  <a:spAutoFit/>
                </a:bodyPr>
                <a:lstStyle/>
                <a:p>
                  <a:pPr>
                    <a:defRPr sz="600">
                      <a:solidFill>
                        <a:schemeClr val="tx1"/>
                      </a:solidFill>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3F-4238-B068-5B646C32225A}"/>
                </c:ext>
              </c:extLst>
            </c:dLbl>
            <c:dLbl>
              <c:idx val="2"/>
              <c:layout>
                <c:manualLayout>
                  <c:x val="-4.1498958920663111E-2"/>
                  <c:y val="-6.2157842004297775E-2"/>
                </c:manualLayout>
              </c:layout>
              <c:spPr>
                <a:solidFill>
                  <a:schemeClr val="bg1"/>
                </a:solidFill>
                <a:ln>
                  <a:noFill/>
                </a:ln>
                <a:effectLst/>
              </c:spPr>
              <c:txPr>
                <a:bodyPr>
                  <a:spAutoFit/>
                </a:bodyPr>
                <a:lstStyle/>
                <a:p>
                  <a:pPr>
                    <a:defRPr sz="600">
                      <a:solidFill>
                        <a:schemeClr val="tx1"/>
                      </a:solidFill>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3F-4238-B068-5B646C32225A}"/>
                </c:ext>
              </c:extLst>
            </c:dLbl>
            <c:spPr>
              <a:solidFill>
                <a:schemeClr val="bg1"/>
              </a:solidFill>
              <a:ln>
                <a:noFill/>
              </a:ln>
              <a:effectLst/>
            </c:spPr>
            <c:txPr>
              <a:bodyPr rot="0" anchor="ctr" anchorCtr="1">
                <a:spAutoFit/>
              </a:bodyPr>
              <a:lstStyle/>
              <a:p>
                <a:pPr algn="ctr" rtl="0">
                  <a:defRPr sz="600">
                    <a:solidFill>
                      <a:schemeClr val="tx1"/>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要約掲載図表!$A$70:$A$76</c:f>
              <c:strCache>
                <c:ptCount val="7"/>
                <c:pt idx="0">
                  <c:v>昭和
63年</c:v>
                </c:pt>
                <c:pt idx="1">
                  <c:v>平成
 5年</c:v>
                </c:pt>
                <c:pt idx="2">
                  <c:v>10年</c:v>
                </c:pt>
                <c:pt idx="3">
                  <c:v>15年</c:v>
                </c:pt>
                <c:pt idx="4">
                  <c:v>20年</c:v>
                </c:pt>
                <c:pt idx="5">
                  <c:v>25年</c:v>
                </c:pt>
                <c:pt idx="6">
                  <c:v>30年</c:v>
                </c:pt>
              </c:strCache>
            </c:strRef>
          </c:cat>
          <c:val>
            <c:numRef>
              <c:f>要約掲載図表!$C$70:$C$76</c:f>
              <c:numCache>
                <c:formatCode>0.0</c:formatCode>
                <c:ptCount val="7"/>
                <c:pt idx="0">
                  <c:v>37.665782493368702</c:v>
                </c:pt>
                <c:pt idx="1">
                  <c:v>43.198634035287419</c:v>
                </c:pt>
                <c:pt idx="2">
                  <c:v>47.471233609847467</c:v>
                </c:pt>
                <c:pt idx="3">
                  <c:v>51.11169238817682</c:v>
                </c:pt>
                <c:pt idx="4">
                  <c:v>54.115172232448074</c:v>
                </c:pt>
                <c:pt idx="5">
                  <c:v>54.678663239074552</c:v>
                </c:pt>
                <c:pt idx="6">
                  <c:v>56.774361999999996</c:v>
                </c:pt>
              </c:numCache>
            </c:numRef>
          </c:val>
          <c:smooth val="0"/>
          <c:extLst>
            <c:ext xmlns:c16="http://schemas.microsoft.com/office/drawing/2014/chart" uri="{C3380CC4-5D6E-409C-BE32-E72D297353CC}">
              <c16:uniqueId val="{0000000A-0E3F-4238-B068-5B646C32225A}"/>
            </c:ext>
          </c:extLst>
        </c:ser>
        <c:ser>
          <c:idx val="2"/>
          <c:order val="2"/>
          <c:tx>
            <c:strRef>
              <c:f>要約掲載図表!$D$69</c:f>
              <c:strCache>
                <c:ptCount val="1"/>
                <c:pt idx="0">
                  <c:v>全　国</c:v>
                </c:pt>
              </c:strCache>
            </c:strRef>
          </c:tx>
          <c:spPr>
            <a:ln w="12700">
              <a:solidFill>
                <a:schemeClr val="tx1"/>
              </a:solidFill>
              <a:prstDash val="dash"/>
            </a:ln>
          </c:spPr>
          <c:marker>
            <c:symbol val="triangle"/>
            <c:size val="5"/>
            <c:spPr>
              <a:solidFill>
                <a:schemeClr val="tx1"/>
              </a:solidFill>
              <a:ln>
                <a:solidFill>
                  <a:srgbClr val="4BACC6"/>
                </a:solidFill>
              </a:ln>
            </c:spPr>
          </c:marker>
          <c:dLbls>
            <c:spPr>
              <a:solidFill>
                <a:schemeClr val="bg1"/>
              </a:solidFill>
              <a:ln>
                <a:noFill/>
              </a:ln>
              <a:effectLst/>
            </c:spPr>
            <c:txPr>
              <a:bodyPr rot="0" anchor="ctr" anchorCtr="1">
                <a:spAutoFit/>
              </a:bodyPr>
              <a:lstStyle/>
              <a:p>
                <a:pPr algn="ctr" rtl="0">
                  <a:defRPr sz="600">
                    <a:solidFill>
                      <a:schemeClr val="tx1"/>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要約掲載図表!$A$70:$A$76</c:f>
              <c:strCache>
                <c:ptCount val="7"/>
                <c:pt idx="0">
                  <c:v>昭和
63年</c:v>
                </c:pt>
                <c:pt idx="1">
                  <c:v>平成
 5年</c:v>
                </c:pt>
                <c:pt idx="2">
                  <c:v>10年</c:v>
                </c:pt>
                <c:pt idx="3">
                  <c:v>15年</c:v>
                </c:pt>
                <c:pt idx="4">
                  <c:v>20年</c:v>
                </c:pt>
                <c:pt idx="5">
                  <c:v>25年</c:v>
                </c:pt>
                <c:pt idx="6">
                  <c:v>30年</c:v>
                </c:pt>
              </c:strCache>
            </c:strRef>
          </c:cat>
          <c:val>
            <c:numRef>
              <c:f>要約掲載図表!$D$70:$D$76</c:f>
              <c:numCache>
                <c:formatCode>0.0</c:formatCode>
                <c:ptCount val="7"/>
                <c:pt idx="0">
                  <c:v>26.5</c:v>
                </c:pt>
                <c:pt idx="1">
                  <c:v>28.9</c:v>
                </c:pt>
                <c:pt idx="2">
                  <c:v>31.5</c:v>
                </c:pt>
                <c:pt idx="3">
                  <c:v>35</c:v>
                </c:pt>
                <c:pt idx="4">
                  <c:v>36.700000000000003</c:v>
                </c:pt>
                <c:pt idx="5">
                  <c:v>40</c:v>
                </c:pt>
                <c:pt idx="6" formatCode="General">
                  <c:v>42.1</c:v>
                </c:pt>
              </c:numCache>
            </c:numRef>
          </c:val>
          <c:smooth val="0"/>
          <c:extLst>
            <c:ext xmlns:c16="http://schemas.microsoft.com/office/drawing/2014/chart" uri="{C3380CC4-5D6E-409C-BE32-E72D297353CC}">
              <c16:uniqueId val="{0000000B-0E3F-4238-B068-5B646C32225A}"/>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0"/>
        <c:majorTickMark val="in"/>
        <c:minorTickMark val="none"/>
        <c:tickLblPos val="nextTo"/>
        <c:spPr>
          <a:ln>
            <a:solidFill>
              <a:schemeClr val="tx1"/>
            </a:solidFill>
          </a:ln>
        </c:spPr>
        <c:txPr>
          <a:bodyPr horzOverflow="overflow" anchor="ctr" anchorCtr="1"/>
          <a:lstStyle/>
          <a:p>
            <a:pPr algn="ctr" rtl="0">
              <a:defRPr sz="600">
                <a:solidFill>
                  <a:schemeClr val="tx1"/>
                </a:solidFill>
              </a:defRPr>
            </a:pPr>
            <a:endParaRPr lang="ja-JP"/>
          </a:p>
        </c:txPr>
        <c:crossAx val="2"/>
        <c:crosses val="autoZero"/>
        <c:auto val="1"/>
        <c:lblAlgn val="ctr"/>
        <c:lblOffset val="100"/>
        <c:noMultiLvlLbl val="0"/>
      </c:catAx>
      <c:valAx>
        <c:axId val="2"/>
        <c:scaling>
          <c:orientation val="minMax"/>
        </c:scaling>
        <c:delete val="0"/>
        <c:axPos val="l"/>
        <c:title>
          <c:tx>
            <c:rich>
              <a:bodyPr rot="0" horzOverflow="overflow" anchor="ctr" anchorCtr="1"/>
              <a:lstStyle/>
              <a:p>
                <a:pPr algn="ctr" rtl="0">
                  <a:defRPr sz="600" i="0" u="none" strike="noStrike" baseline="0">
                    <a:solidFill>
                      <a:schemeClr val="tx1"/>
                    </a:solidFill>
                  </a:defRPr>
                </a:pPr>
                <a:r>
                  <a:rPr lang="ja-JP" altLang="en-US" sz="600" b="1" i="0" u="none" strike="noStrike" baseline="0">
                    <a:solidFill>
                      <a:schemeClr val="tx1"/>
                    </a:solidFill>
                    <a:latin typeface="+mj-ea"/>
                    <a:ea typeface="+mj-ea"/>
                  </a:rPr>
                  <a:t>（千世帯）</a:t>
                </a:r>
              </a:p>
            </c:rich>
          </c:tx>
          <c:layout>
            <c:manualLayout>
              <c:xMode val="edge"/>
              <c:yMode val="edge"/>
              <c:x val="8.2689137542017767E-3"/>
              <c:y val="4.8962167021939937E-2"/>
            </c:manualLayout>
          </c:layout>
          <c:overlay val="0"/>
        </c:title>
        <c:numFmt formatCode="#,##0_);[Red]\(#,##0\)" sourceLinked="0"/>
        <c:majorTickMark val="in"/>
        <c:minorTickMark val="none"/>
        <c:tickLblPos val="nextTo"/>
        <c:spPr>
          <a:ln>
            <a:solidFill>
              <a:schemeClr val="tx1"/>
            </a:solidFill>
          </a:ln>
        </c:spPr>
        <c:txPr>
          <a:bodyPr horzOverflow="overflow" anchor="ctr" anchorCtr="1"/>
          <a:lstStyle/>
          <a:p>
            <a:pPr algn="ctr" rtl="0">
              <a:defRPr sz="700">
                <a:solidFill>
                  <a:schemeClr val="tx1"/>
                </a:solidFill>
              </a:defRPr>
            </a:pPr>
            <a:endParaRPr lang="ja-JP"/>
          </a:p>
        </c:txPr>
        <c:crossAx val="1"/>
        <c:crosses val="autoZero"/>
        <c:crossBetween val="between"/>
      </c:valAx>
      <c:catAx>
        <c:axId val="11"/>
        <c:scaling>
          <c:orientation val="minMax"/>
        </c:scaling>
        <c:delete val="1"/>
        <c:axPos val="b"/>
        <c:numFmt formatCode="General" sourceLinked="1"/>
        <c:majorTickMark val="out"/>
        <c:minorTickMark val="none"/>
        <c:tickLblPos val="nextTo"/>
        <c:crossAx val="12"/>
        <c:crosses val="autoZero"/>
        <c:auto val="1"/>
        <c:lblAlgn val="ctr"/>
        <c:lblOffset val="100"/>
        <c:noMultiLvlLbl val="0"/>
      </c:catAx>
      <c:valAx>
        <c:axId val="12"/>
        <c:scaling>
          <c:orientation val="minMax"/>
        </c:scaling>
        <c:delete val="0"/>
        <c:axPos val="r"/>
        <c:title>
          <c:tx>
            <c:rich>
              <a:bodyPr horzOverflow="overflow" vert="wordArtVertRtl" anchor="ctr" anchorCtr="1"/>
              <a:lstStyle/>
              <a:p>
                <a:pPr algn="ctr" rtl="0">
                  <a:defRPr sz="600" i="0" u="none" strike="noStrike" baseline="0">
                    <a:solidFill>
                      <a:schemeClr val="tx1"/>
                    </a:solidFill>
                  </a:defRPr>
                </a:pPr>
                <a:r>
                  <a:rPr lang="ja-JP" altLang="en-US" sz="600" b="1" i="0" u="none" strike="noStrike" baseline="0">
                    <a:solidFill>
                      <a:schemeClr val="tx1"/>
                    </a:solidFill>
                    <a:latin typeface="+mj-ea"/>
                    <a:ea typeface="+mj-ea"/>
                  </a:rPr>
                  <a:t>主世帯に占める割合（％）</a:t>
                </a:r>
              </a:p>
            </c:rich>
          </c:tx>
          <c:layout>
            <c:manualLayout>
              <c:xMode val="edge"/>
              <c:yMode val="edge"/>
              <c:x val="0.93491587235806051"/>
              <c:y val="0.2023920766810226"/>
            </c:manualLayout>
          </c:layout>
          <c:overlay val="0"/>
        </c:title>
        <c:numFmt formatCode="#,##0_);[Red]\(#,##0\)" sourceLinked="0"/>
        <c:majorTickMark val="in"/>
        <c:minorTickMark val="none"/>
        <c:tickLblPos val="nextTo"/>
        <c:spPr>
          <a:ln>
            <a:solidFill>
              <a:schemeClr val="tx1"/>
            </a:solidFill>
          </a:ln>
        </c:spPr>
        <c:txPr>
          <a:bodyPr horzOverflow="overflow" anchor="ctr" anchorCtr="1"/>
          <a:lstStyle/>
          <a:p>
            <a:pPr algn="ctr" rtl="0">
              <a:defRPr sz="700">
                <a:solidFill>
                  <a:schemeClr val="tx1"/>
                </a:solidFill>
              </a:defRPr>
            </a:pPr>
            <a:endParaRPr lang="ja-JP"/>
          </a:p>
        </c:txPr>
        <c:crossAx val="11"/>
        <c:crosses val="max"/>
        <c:crossBetween val="between"/>
      </c:valAx>
      <c:spPr>
        <a:ln>
          <a:solidFill>
            <a:schemeClr val="tx1"/>
          </a:solidFill>
        </a:ln>
      </c:spPr>
    </c:plotArea>
    <c:legend>
      <c:legendPos val="t"/>
      <c:legendEntry>
        <c:idx val="0"/>
        <c:delete val="1"/>
      </c:legendEntry>
      <c:layout>
        <c:manualLayout>
          <c:xMode val="edge"/>
          <c:yMode val="edge"/>
          <c:x val="0.11580796641069555"/>
          <c:y val="0.12622902800133409"/>
          <c:w val="0.26053109404636943"/>
          <c:h val="0.11436518434625069"/>
        </c:manualLayout>
      </c:layout>
      <c:overlay val="0"/>
      <c:spPr>
        <a:solidFill>
          <a:schemeClr val="bg1"/>
        </a:solidFill>
        <a:ln>
          <a:solidFill>
            <a:schemeClr val="tx1"/>
          </a:solidFill>
        </a:ln>
      </c:spPr>
      <c:txPr>
        <a:bodyPr anchor="ctr" anchorCtr="1"/>
        <a:lstStyle/>
        <a:p>
          <a:pPr algn="l" rtl="0">
            <a:defRPr sz="600">
              <a:solidFill>
                <a:schemeClr val="tx1"/>
              </a:solidFill>
            </a:defRPr>
          </a:pPr>
          <a:endParaRPr lang="ja-JP"/>
        </a:p>
      </c:txPr>
    </c:legend>
    <c:plotVisOnly val="1"/>
    <c:dispBlanksAs val="gap"/>
    <c:showDLblsOverMax val="0"/>
  </c:chart>
  <c:spPr>
    <a:ln>
      <a:solidFill>
        <a:schemeClr val="tx1"/>
      </a:solidFill>
    </a:ln>
  </c:spPr>
  <c:txPr>
    <a:bodyPr horzOverflow="overflow" anchor="ctr" anchorCtr="1"/>
    <a:lstStyle/>
    <a:p>
      <a:pPr algn="ctr" rtl="0">
        <a:defRPr lang="ja-JP" altLang="en-US" sz="600">
          <a:solidFill>
            <a:schemeClr val="tx1"/>
          </a:solidFill>
          <a:latin typeface="+mj-ea"/>
          <a:ea typeface="+mj-ea"/>
        </a:defRPr>
      </a:pPr>
      <a:endParaRPr lang="ja-JP"/>
    </a:p>
  </c:txPr>
  <c:externalData r:id="rId2">
    <c:autoUpdate val="0"/>
  </c:externalData>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700" i="0" u="none" strike="noStrike" baseline="0">
                <a:solidFill>
                  <a:schemeClr val="tx1"/>
                </a:solidFill>
              </a:defRPr>
            </a:pPr>
            <a:r>
              <a:rPr lang="ja-JP" altLang="en-US" sz="700" b="1" i="0" u="none" strike="noStrike" baseline="0">
                <a:solidFill>
                  <a:schemeClr val="tx1"/>
                </a:solidFill>
                <a:latin typeface="+mj-ea"/>
                <a:ea typeface="+mj-ea"/>
              </a:rPr>
              <a:t>高齢者のいる世帯の世帯の型別割合－秋田県（平成30年）</a:t>
            </a:r>
          </a:p>
        </c:rich>
      </c:tx>
      <c:layout>
        <c:manualLayout>
          <c:xMode val="edge"/>
          <c:yMode val="edge"/>
          <c:x val="0.28099247066933769"/>
          <c:y val="1.1599054385075412E-2"/>
        </c:manualLayout>
      </c:layout>
      <c:overlay val="0"/>
    </c:title>
    <c:autoTitleDeleted val="0"/>
    <c:plotArea>
      <c:layout>
        <c:manualLayout>
          <c:layoutTarget val="inner"/>
          <c:xMode val="edge"/>
          <c:yMode val="edge"/>
          <c:x val="2.7638333333333334E-2"/>
          <c:y val="0.26795870516185477"/>
          <c:w val="0.93748962962962956"/>
          <c:h val="0.52521456540197797"/>
        </c:manualLayout>
      </c:layout>
      <c:barChart>
        <c:barDir val="bar"/>
        <c:grouping val="percentStacked"/>
        <c:varyColors val="0"/>
        <c:ser>
          <c:idx val="0"/>
          <c:order val="0"/>
          <c:tx>
            <c:strRef>
              <c:f>要約掲載図表!$B$96</c:f>
              <c:strCache>
                <c:ptCount val="1"/>
                <c:pt idx="0">
                  <c:v>高齢単身主世帯</c:v>
                </c:pt>
              </c:strCache>
            </c:strRef>
          </c:tx>
          <c:spPr>
            <a:pattFill prst="pct30">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0-590B-4668-9BD2-F0C83215997E}"/>
              </c:ext>
            </c:extLst>
          </c:dPt>
          <c:dLbls>
            <c:dLbl>
              <c:idx val="0"/>
              <c:numFmt formatCode="#,##0.0_);[Red]\(#,##0.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1"/>
              <c:showPercent val="0"/>
              <c:showBubbleSize val="0"/>
              <c:extLst>
                <c:ext xmlns:c16="http://schemas.microsoft.com/office/drawing/2014/chart" uri="{C3380CC4-5D6E-409C-BE32-E72D297353CC}">
                  <c16:uniqueId val="{00000000-590B-4668-9BD2-F0C83215997E}"/>
                </c:ext>
              </c:extLst>
            </c:dLbl>
            <c:numFmt formatCode="#,##0.0_);[Red]\(#,##0.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要約掲載図表!$A$97</c:f>
              <c:numCache>
                <c:formatCode>General</c:formatCode>
                <c:ptCount val="1"/>
              </c:numCache>
            </c:numRef>
          </c:cat>
          <c:val>
            <c:numRef>
              <c:f>要約掲載図表!$B$97</c:f>
              <c:numCache>
                <c:formatCode>General</c:formatCode>
                <c:ptCount val="1"/>
                <c:pt idx="0">
                  <c:v>24.552547000000001</c:v>
                </c:pt>
              </c:numCache>
            </c:numRef>
          </c:val>
          <c:extLst>
            <c:ext xmlns:c16="http://schemas.microsoft.com/office/drawing/2014/chart" uri="{C3380CC4-5D6E-409C-BE32-E72D297353CC}">
              <c16:uniqueId val="{00000001-590B-4668-9BD2-F0C83215997E}"/>
            </c:ext>
          </c:extLst>
        </c:ser>
        <c:ser>
          <c:idx val="1"/>
          <c:order val="1"/>
          <c:tx>
            <c:strRef>
              <c:f>要約掲載図表!$C$96</c:f>
              <c:strCache>
                <c:ptCount val="1"/>
                <c:pt idx="0">
                  <c:v>高齢者のいる夫婦のみ
の主世帯</c:v>
                </c:pt>
              </c:strCache>
            </c:strRef>
          </c:tx>
          <c:spPr>
            <a:pattFill prst="pct20">
              <a:fgClr>
                <a:schemeClr val="accent5"/>
              </a:fgClr>
              <a:bgClr>
                <a:schemeClr val="bg1"/>
              </a:bgClr>
            </a:pattFill>
            <a:ln w="3175">
              <a:solidFill>
                <a:schemeClr val="tx1"/>
              </a:solidFill>
            </a:ln>
          </c:spPr>
          <c:invertIfNegative val="0"/>
          <c:dPt>
            <c:idx val="0"/>
            <c:invertIfNegative val="0"/>
            <c:bubble3D val="0"/>
            <c:extLst>
              <c:ext xmlns:c16="http://schemas.microsoft.com/office/drawing/2014/chart" uri="{C3380CC4-5D6E-409C-BE32-E72D297353CC}">
                <c16:uniqueId val="{00000002-590B-4668-9BD2-F0C83215997E}"/>
              </c:ext>
            </c:extLst>
          </c:dPt>
          <c:dLbls>
            <c:dLbl>
              <c:idx val="0"/>
              <c:numFmt formatCode="#,##0.0_);[Red]\(#,##0.0\)" sourceLinked="0"/>
              <c:spPr>
                <a:solidFill>
                  <a:schemeClr val="bg1"/>
                </a:solidFill>
              </c:spPr>
              <c:txPr>
                <a:bodyPr horzOverflow="overflow"/>
                <a:lstStyle/>
                <a:p>
                  <a:pPr>
                    <a:defRPr sz="700">
                      <a:solidFill>
                        <a:schemeClr val="tx1"/>
                      </a:solidFill>
                    </a:defRPr>
                  </a:pPr>
                  <a:endParaRPr lang="ja-JP"/>
                </a:p>
              </c:txP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590B-4668-9BD2-F0C83215997E}"/>
                </c:ext>
              </c:extLst>
            </c:dLbl>
            <c:numFmt formatCode="#,##0.0_);[Red]\(#,##0.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0"/>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要約掲載図表!$A$97</c:f>
              <c:numCache>
                <c:formatCode>General</c:formatCode>
                <c:ptCount val="1"/>
              </c:numCache>
            </c:numRef>
          </c:cat>
          <c:val>
            <c:numRef>
              <c:f>要約掲載図表!$C$97</c:f>
              <c:numCache>
                <c:formatCode>General</c:formatCode>
                <c:ptCount val="1"/>
                <c:pt idx="0">
                  <c:v>23.405231759999999</c:v>
                </c:pt>
              </c:numCache>
            </c:numRef>
          </c:val>
          <c:extLst>
            <c:ext xmlns:c16="http://schemas.microsoft.com/office/drawing/2014/chart" uri="{C3380CC4-5D6E-409C-BE32-E72D297353CC}">
              <c16:uniqueId val="{00000003-590B-4668-9BD2-F0C83215997E}"/>
            </c:ext>
          </c:extLst>
        </c:ser>
        <c:ser>
          <c:idx val="2"/>
          <c:order val="2"/>
          <c:tx>
            <c:strRef>
              <c:f>要約掲載図表!$D$96</c:f>
              <c:strCache>
                <c:ptCount val="1"/>
                <c:pt idx="0">
                  <c:v>高齢者のいる
その他の主世帯</c:v>
                </c:pt>
              </c:strCache>
            </c:strRef>
          </c:tx>
          <c:spPr>
            <a:pattFill prst="openDmnd">
              <a:fgClr>
                <a:schemeClr val="accent5"/>
              </a:fgClr>
              <a:bgClr>
                <a:schemeClr val="bg1"/>
              </a:bgClr>
            </a:pattFill>
            <a:ln w="3175">
              <a:solidFill>
                <a:schemeClr val="tx1"/>
              </a:solidFill>
            </a:ln>
          </c:spPr>
          <c:invertIfNegative val="0"/>
          <c:dLbls>
            <c:numFmt formatCode="#,##0.0_);[Red]\(#,##0.0\)" sourceLinked="0"/>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要約掲載図表!$A$97</c:f>
              <c:numCache>
                <c:formatCode>General</c:formatCode>
                <c:ptCount val="1"/>
              </c:numCache>
            </c:numRef>
          </c:cat>
          <c:val>
            <c:numRef>
              <c:f>要約掲載図表!$D$97</c:f>
              <c:numCache>
                <c:formatCode>General</c:formatCode>
                <c:ptCount val="1"/>
                <c:pt idx="0">
                  <c:v>52.0422212</c:v>
                </c:pt>
              </c:numCache>
            </c:numRef>
          </c:val>
          <c:extLst>
            <c:ext xmlns:c16="http://schemas.microsoft.com/office/drawing/2014/chart" uri="{C3380CC4-5D6E-409C-BE32-E72D297353CC}">
              <c16:uniqueId val="{00000004-590B-4668-9BD2-F0C83215997E}"/>
            </c:ext>
          </c:extLst>
        </c:ser>
        <c:dLbls>
          <c:showLegendKey val="0"/>
          <c:showVal val="0"/>
          <c:showCatName val="0"/>
          <c:showSerName val="0"/>
          <c:showPercent val="0"/>
          <c:showBubbleSize val="0"/>
        </c:dLbls>
        <c:gapWidth val="40"/>
        <c:overlap val="100"/>
        <c:serLines>
          <c:spPr>
            <a:ln w="6350">
              <a:prstDash val="sysDot"/>
            </a:ln>
          </c:spPr>
        </c:serLines>
        <c:axId val="1"/>
        <c:axId val="2"/>
      </c:barChart>
      <c:catAx>
        <c:axId val="1"/>
        <c:scaling>
          <c:orientation val="minMax"/>
        </c:scaling>
        <c:delete val="1"/>
        <c:axPos val="l"/>
        <c:numFmt formatCode="General" sourceLinked="1"/>
        <c:majorTickMark val="out"/>
        <c:minorTickMark val="none"/>
        <c:tickLblPos val="nextTo"/>
        <c:crossAx val="2"/>
        <c:crosses val="autoZero"/>
        <c:auto val="1"/>
        <c:lblAlgn val="ctr"/>
        <c:lblOffset val="100"/>
        <c:noMultiLvlLbl val="0"/>
      </c:catAx>
      <c:valAx>
        <c:axId val="2"/>
        <c:scaling>
          <c:orientation val="minMax"/>
        </c:scaling>
        <c:delete val="0"/>
        <c:axPos val="b"/>
        <c:majorGridlines>
          <c:spPr>
            <a:ln>
              <a:prstDash val="sysDash"/>
            </a:ln>
          </c:spPr>
        </c:majorGridlines>
        <c:numFmt formatCode="0%" sourceLinked="1"/>
        <c:majorTickMark val="out"/>
        <c:minorTickMark val="in"/>
        <c:tickLblPos val="nextTo"/>
        <c:txPr>
          <a:bodyPr horzOverflow="overflow" anchor="ctr" anchorCtr="1"/>
          <a:lstStyle/>
          <a:p>
            <a:pPr algn="ctr" rtl="0">
              <a:defRPr sz="700">
                <a:solidFill>
                  <a:schemeClr val="tx1"/>
                </a:solidFill>
              </a:defRPr>
            </a:pPr>
            <a:endParaRPr lang="ja-JP"/>
          </a:p>
        </c:txPr>
        <c:crossAx val="1"/>
        <c:crosses val="autoZero"/>
        <c:crossBetween val="between"/>
        <c:majorUnit val="0.2"/>
        <c:minorUnit val="0.1"/>
      </c:valAx>
      <c:spPr>
        <a:ln w="3175">
          <a:solidFill>
            <a:schemeClr val="tx1">
              <a:tint val="75000"/>
              <a:shade val="95000"/>
              <a:satMod val="105000"/>
            </a:schemeClr>
          </a:solidFill>
        </a:ln>
      </c:spPr>
    </c:plotArea>
    <c:plotVisOnly val="1"/>
    <c:dispBlanksAs val="gap"/>
    <c:showDLblsOverMax val="0"/>
  </c:chart>
  <c:spPr>
    <a:solidFill>
      <a:schemeClr val="bg1"/>
    </a:solidFill>
    <a:ln>
      <a:solidFill>
        <a:schemeClr val="tx1"/>
      </a:solidFill>
    </a:ln>
  </c:spPr>
  <c:txPr>
    <a:bodyPr horzOverflow="overflow" anchor="ctr" anchorCtr="1"/>
    <a:lstStyle/>
    <a:p>
      <a:pPr algn="ctr" rtl="0">
        <a:defRPr lang="ja-JP" altLang="en-US" sz="700">
          <a:solidFill>
            <a:schemeClr val="tx1"/>
          </a:solidFill>
          <a:latin typeface="+mj-ea"/>
          <a:ea typeface="+mj-ea"/>
        </a:defRPr>
      </a:pPr>
      <a:endParaRPr lang="ja-JP"/>
    </a:p>
  </c:txPr>
  <c:externalData r:id="rId2">
    <c:autoUpdate val="0"/>
  </c:externalData>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horzOverflow="overflow" anchor="ctr" anchorCtr="1"/>
          <a:lstStyle/>
          <a:p>
            <a:pPr algn="ctr" rtl="0">
              <a:defRPr sz="900" i="0" u="none" strike="noStrike" baseline="0">
                <a:solidFill>
                  <a:schemeClr val="tx1"/>
                </a:solidFill>
              </a:defRPr>
            </a:pPr>
            <a:r>
              <a:rPr lang="ja-JP" altLang="en-US" sz="900" b="1" i="0" u="none" strike="noStrike" baseline="0">
                <a:solidFill>
                  <a:schemeClr val="tx1"/>
                </a:solidFill>
              </a:rPr>
              <a:t>子の居住地別高齢者のいる世帯別の割合－秋田県（平成</a:t>
            </a:r>
            <a:r>
              <a:rPr lang="en-US" altLang="ja-JP" sz="900" b="1" i="0" u="none" strike="noStrike" baseline="0">
                <a:solidFill>
                  <a:schemeClr val="tx1"/>
                </a:solidFill>
                <a:latin typeface="ＭＳ ゴシック"/>
                <a:ea typeface="ＭＳ ゴシック"/>
              </a:rPr>
              <a:t>30</a:t>
            </a:r>
            <a:r>
              <a:rPr lang="ja-JP" altLang="en-US" sz="900" b="1" i="0" u="none" strike="noStrike" baseline="0">
                <a:solidFill>
                  <a:schemeClr val="tx1"/>
                </a:solidFill>
              </a:rPr>
              <a:t>年）</a:t>
            </a:r>
          </a:p>
        </c:rich>
      </c:tx>
      <c:layout>
        <c:manualLayout>
          <c:xMode val="edge"/>
          <c:yMode val="edge"/>
          <c:x val="0.21263936224389862"/>
          <c:y val="5.8803363865231129E-3"/>
        </c:manualLayout>
      </c:layout>
      <c:overlay val="0"/>
    </c:title>
    <c:autoTitleDeleted val="0"/>
    <c:plotArea>
      <c:layout>
        <c:manualLayout>
          <c:layoutTarget val="inner"/>
          <c:xMode val="edge"/>
          <c:yMode val="edge"/>
          <c:x val="0.16444351851851852"/>
          <c:y val="0.2081388888888889"/>
          <c:w val="0.78339240740740745"/>
          <c:h val="0.64456666666666662"/>
        </c:manualLayout>
      </c:layout>
      <c:barChart>
        <c:barDir val="bar"/>
        <c:grouping val="percentStacked"/>
        <c:varyColors val="0"/>
        <c:ser>
          <c:idx val="0"/>
          <c:order val="0"/>
          <c:tx>
            <c:strRef>
              <c:f>要約掲載図表!$C$107</c:f>
              <c:strCache>
                <c:ptCount val="1"/>
                <c:pt idx="0">
                  <c:v>一緒に住んでいる</c:v>
                </c:pt>
              </c:strCache>
            </c:strRef>
          </c:tx>
          <c:spPr>
            <a:pattFill prst="solidDmnd">
              <a:fgClr>
                <a:schemeClr val="accent5"/>
              </a:fgClr>
              <a:bgClr>
                <a:schemeClr val="bg1"/>
              </a:bgClr>
            </a:pattFill>
            <a:ln>
              <a:solidFill>
                <a:schemeClr val="tx1"/>
              </a:solidFill>
            </a:ln>
          </c:spPr>
          <c:invertIfNegative val="0"/>
          <c:cat>
            <c:strRef>
              <c:f>要約掲載図表!$B$108:$B$109</c:f>
              <c:strCache>
                <c:ptCount val="2"/>
                <c:pt idx="0">
                  <c:v>高齢単身世帯</c:v>
                </c:pt>
                <c:pt idx="1">
                  <c:v>高齢者のいる
夫婦のみの世帯</c:v>
                </c:pt>
              </c:strCache>
            </c:strRef>
          </c:cat>
          <c:val>
            <c:numRef>
              <c:f>要約掲載図表!$C$108:$C$109</c:f>
              <c:numCache>
                <c:formatCode>0.0</c:formatCode>
                <c:ptCount val="2"/>
                <c:pt idx="0">
                  <c:v>2.8</c:v>
                </c:pt>
                <c:pt idx="1">
                  <c:v>2.7</c:v>
                </c:pt>
              </c:numCache>
            </c:numRef>
          </c:val>
          <c:extLst>
            <c:ext xmlns:c16="http://schemas.microsoft.com/office/drawing/2014/chart" uri="{C3380CC4-5D6E-409C-BE32-E72D297353CC}">
              <c16:uniqueId val="{00000000-FEA0-4310-B209-79A5461EE855}"/>
            </c:ext>
          </c:extLst>
        </c:ser>
        <c:ser>
          <c:idx val="1"/>
          <c:order val="1"/>
          <c:tx>
            <c:strRef>
              <c:f>要約掲載図表!$D$107</c:f>
              <c:strCache>
                <c:ptCount val="1"/>
                <c:pt idx="0">
                  <c:v>徒歩5分程度</c:v>
                </c:pt>
              </c:strCache>
            </c:strRef>
          </c:tx>
          <c:spPr>
            <a:pattFill prst="smCheck">
              <a:fgClr>
                <a:schemeClr val="accent5"/>
              </a:fgClr>
              <a:bgClr>
                <a:schemeClr val="bg1"/>
              </a:bgClr>
            </a:pattFill>
            <a:ln>
              <a:solidFill>
                <a:schemeClr val="tx1"/>
              </a:solidFill>
            </a:ln>
          </c:spPr>
          <c:invertIfNegative val="0"/>
          <c:dPt>
            <c:idx val="1"/>
            <c:invertIfNegative val="0"/>
            <c:bubble3D val="0"/>
            <c:extLst>
              <c:ext xmlns:c16="http://schemas.microsoft.com/office/drawing/2014/chart" uri="{C3380CC4-5D6E-409C-BE32-E72D297353CC}">
                <c16:uniqueId val="{00000001-FEA0-4310-B209-79A5461EE855}"/>
              </c:ext>
            </c:extLst>
          </c:dPt>
          <c:dLbls>
            <c:dLbl>
              <c:idx val="1"/>
              <c:delete val="1"/>
              <c:extLst>
                <c:ext xmlns:c15="http://schemas.microsoft.com/office/drawing/2012/chart" uri="{CE6537A1-D6FC-4f65-9D91-7224C49458BB}"/>
                <c:ext xmlns:c16="http://schemas.microsoft.com/office/drawing/2014/chart" uri="{C3380CC4-5D6E-409C-BE32-E72D297353CC}">
                  <c16:uniqueId val="{00000001-FEA0-4310-B209-79A5461EE855}"/>
                </c:ext>
              </c:extLst>
            </c:dLbl>
            <c:spPr>
              <a:solidFill>
                <a:schemeClr val="bg1"/>
              </a:solidFill>
            </c:spPr>
            <c:txPr>
              <a:bodyPr rot="0" horzOverflow="overflow" anchor="ctr" anchorCtr="1"/>
              <a:lstStyle/>
              <a:p>
                <a:pPr algn="ctr" rtl="0">
                  <a:defRPr sz="8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要約掲載図表!$B$108:$B$109</c:f>
              <c:strCache>
                <c:ptCount val="2"/>
                <c:pt idx="0">
                  <c:v>高齢単身世帯</c:v>
                </c:pt>
                <c:pt idx="1">
                  <c:v>高齢者のいる
夫婦のみの世帯</c:v>
                </c:pt>
              </c:strCache>
            </c:strRef>
          </c:cat>
          <c:val>
            <c:numRef>
              <c:f>要約掲載図表!$D$108:$D$109</c:f>
              <c:numCache>
                <c:formatCode>0.0</c:formatCode>
                <c:ptCount val="2"/>
                <c:pt idx="0">
                  <c:v>5.0999999999999996</c:v>
                </c:pt>
                <c:pt idx="1">
                  <c:v>6.7</c:v>
                </c:pt>
              </c:numCache>
            </c:numRef>
          </c:val>
          <c:extLst>
            <c:ext xmlns:c16="http://schemas.microsoft.com/office/drawing/2014/chart" uri="{C3380CC4-5D6E-409C-BE32-E72D297353CC}">
              <c16:uniqueId val="{00000002-FEA0-4310-B209-79A5461EE855}"/>
            </c:ext>
          </c:extLst>
        </c:ser>
        <c:ser>
          <c:idx val="2"/>
          <c:order val="2"/>
          <c:tx>
            <c:strRef>
              <c:f>要約掲載図表!$E$107</c:f>
              <c:strCache>
                <c:ptCount val="1"/>
                <c:pt idx="0">
                  <c:v>片道15分未満</c:v>
                </c:pt>
              </c:strCache>
            </c:strRef>
          </c:tx>
          <c:spPr>
            <a:pattFill prst="openDmnd">
              <a:fgClr>
                <a:schemeClr val="accent5"/>
              </a:fgClr>
              <a:bgClr>
                <a:schemeClr val="bg1"/>
              </a:bgClr>
            </a:pattFill>
            <a:ln>
              <a:solidFill>
                <a:schemeClr val="tx1"/>
              </a:solidFill>
            </a:ln>
          </c:spPr>
          <c:invertIfNegative val="0"/>
          <c:dPt>
            <c:idx val="1"/>
            <c:invertIfNegative val="0"/>
            <c:bubble3D val="0"/>
            <c:extLst>
              <c:ext xmlns:c16="http://schemas.microsoft.com/office/drawing/2014/chart" uri="{C3380CC4-5D6E-409C-BE32-E72D297353CC}">
                <c16:uniqueId val="{00000003-FEA0-4310-B209-79A5461EE855}"/>
              </c:ext>
            </c:extLst>
          </c:dPt>
          <c:dLbls>
            <c:dLbl>
              <c:idx val="1"/>
              <c:delete val="1"/>
              <c:extLst>
                <c:ext xmlns:c15="http://schemas.microsoft.com/office/drawing/2012/chart" uri="{CE6537A1-D6FC-4f65-9D91-7224C49458BB}"/>
                <c:ext xmlns:c16="http://schemas.microsoft.com/office/drawing/2014/chart" uri="{C3380CC4-5D6E-409C-BE32-E72D297353CC}">
                  <c16:uniqueId val="{00000003-FEA0-4310-B209-79A5461EE855}"/>
                </c:ext>
              </c:extLst>
            </c:dLbl>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要約掲載図表!$B$108:$B$109</c:f>
              <c:strCache>
                <c:ptCount val="2"/>
                <c:pt idx="0">
                  <c:v>高齢単身世帯</c:v>
                </c:pt>
                <c:pt idx="1">
                  <c:v>高齢者のいる
夫婦のみの世帯</c:v>
                </c:pt>
              </c:strCache>
            </c:strRef>
          </c:cat>
          <c:val>
            <c:numRef>
              <c:f>要約掲載図表!$E$108:$E$109</c:f>
              <c:numCache>
                <c:formatCode>0.0</c:formatCode>
                <c:ptCount val="2"/>
                <c:pt idx="0">
                  <c:v>12.4</c:v>
                </c:pt>
                <c:pt idx="1">
                  <c:v>14.4</c:v>
                </c:pt>
              </c:numCache>
            </c:numRef>
          </c:val>
          <c:extLst>
            <c:ext xmlns:c16="http://schemas.microsoft.com/office/drawing/2014/chart" uri="{C3380CC4-5D6E-409C-BE32-E72D297353CC}">
              <c16:uniqueId val="{00000004-FEA0-4310-B209-79A5461EE855}"/>
            </c:ext>
          </c:extLst>
        </c:ser>
        <c:ser>
          <c:idx val="3"/>
          <c:order val="3"/>
          <c:tx>
            <c:strRef>
              <c:f>要約掲載図表!$F$107</c:f>
              <c:strCache>
                <c:ptCount val="1"/>
                <c:pt idx="0">
                  <c:v>片道1時間未満</c:v>
                </c:pt>
              </c:strCache>
            </c:strRef>
          </c:tx>
          <c:spPr>
            <a:pattFill prst="ltVert">
              <a:fgClr>
                <a:schemeClr val="accent5"/>
              </a:fgClr>
              <a:bgClr>
                <a:schemeClr val="bg1"/>
              </a:bgClr>
            </a:pattFill>
            <a:ln>
              <a:solidFill>
                <a:schemeClr val="tx1"/>
              </a:solidFill>
            </a:ln>
          </c:spPr>
          <c:invertIfNegative val="0"/>
          <c:dPt>
            <c:idx val="1"/>
            <c:invertIfNegative val="0"/>
            <c:bubble3D val="0"/>
            <c:extLst>
              <c:ext xmlns:c16="http://schemas.microsoft.com/office/drawing/2014/chart" uri="{C3380CC4-5D6E-409C-BE32-E72D297353CC}">
                <c16:uniqueId val="{00000005-FEA0-4310-B209-79A5461EE855}"/>
              </c:ext>
            </c:extLst>
          </c:dPt>
          <c:dLbls>
            <c:dLbl>
              <c:idx val="1"/>
              <c:spPr>
                <a:solidFill>
                  <a:schemeClr val="bg1"/>
                </a:solidFill>
              </c:spPr>
              <c:txPr>
                <a:bodyPr horzOverflow="overflow"/>
                <a:lstStyle/>
                <a:p>
                  <a:pPr>
                    <a:defRPr sz="700">
                      <a:solidFill>
                        <a:schemeClr val="tx1"/>
                      </a:solidFill>
                    </a:defRPr>
                  </a:pPr>
                  <a:endParaRPr lang="ja-JP"/>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FEA0-4310-B209-79A5461EE855}"/>
                </c:ext>
              </c:extLst>
            </c:dLbl>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要約掲載図表!$B$108:$B$109</c:f>
              <c:strCache>
                <c:ptCount val="2"/>
                <c:pt idx="0">
                  <c:v>高齢単身世帯</c:v>
                </c:pt>
                <c:pt idx="1">
                  <c:v>高齢者のいる
夫婦のみの世帯</c:v>
                </c:pt>
              </c:strCache>
            </c:strRef>
          </c:cat>
          <c:val>
            <c:numRef>
              <c:f>要約掲載図表!$F$108:$F$109</c:f>
              <c:numCache>
                <c:formatCode>0.0</c:formatCode>
                <c:ptCount val="2"/>
                <c:pt idx="0">
                  <c:v>21.1</c:v>
                </c:pt>
                <c:pt idx="1">
                  <c:v>26.4</c:v>
                </c:pt>
              </c:numCache>
            </c:numRef>
          </c:val>
          <c:extLst>
            <c:ext xmlns:c16="http://schemas.microsoft.com/office/drawing/2014/chart" uri="{C3380CC4-5D6E-409C-BE32-E72D297353CC}">
              <c16:uniqueId val="{00000006-FEA0-4310-B209-79A5461EE855}"/>
            </c:ext>
          </c:extLst>
        </c:ser>
        <c:ser>
          <c:idx val="4"/>
          <c:order val="4"/>
          <c:tx>
            <c:strRef>
              <c:f>要約掲載図表!$G$107</c:f>
              <c:strCache>
                <c:ptCount val="1"/>
                <c:pt idx="0">
                  <c:v>片道1時間以上</c:v>
                </c:pt>
              </c:strCache>
            </c:strRef>
          </c:tx>
          <c:spPr>
            <a:pattFill prst="pct25">
              <a:fgClr>
                <a:schemeClr val="accent5"/>
              </a:fgClr>
              <a:bgClr>
                <a:schemeClr val="bg1"/>
              </a:bgClr>
            </a:pattFill>
            <a:ln>
              <a:solidFill>
                <a:schemeClr val="tx1"/>
              </a:solidFill>
            </a:ln>
          </c:spPr>
          <c:invertIfNegative val="0"/>
          <c:dPt>
            <c:idx val="1"/>
            <c:invertIfNegative val="0"/>
            <c:bubble3D val="0"/>
            <c:extLst>
              <c:ext xmlns:c16="http://schemas.microsoft.com/office/drawing/2014/chart" uri="{C3380CC4-5D6E-409C-BE32-E72D297353CC}">
                <c16:uniqueId val="{00000007-FEA0-4310-B209-79A5461EE855}"/>
              </c:ext>
            </c:extLst>
          </c:dPt>
          <c:dLbls>
            <c:dLbl>
              <c:idx val="1"/>
              <c:spPr>
                <a:solidFill>
                  <a:schemeClr val="bg1"/>
                </a:solidFill>
              </c:spPr>
              <c:txPr>
                <a:bodyPr horzOverflow="overflow"/>
                <a:lstStyle/>
                <a:p>
                  <a:pPr>
                    <a:defRPr sz="700">
                      <a:solidFill>
                        <a:schemeClr val="tx1"/>
                      </a:solidFill>
                    </a:defRPr>
                  </a:pPr>
                  <a:endParaRPr lang="ja-JP"/>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FEA0-4310-B209-79A5461EE855}"/>
                </c:ext>
              </c:extLst>
            </c:dLbl>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要約掲載図表!$B$108:$B$109</c:f>
              <c:strCache>
                <c:ptCount val="2"/>
                <c:pt idx="0">
                  <c:v>高齢単身世帯</c:v>
                </c:pt>
                <c:pt idx="1">
                  <c:v>高齢者のいる
夫婦のみの世帯</c:v>
                </c:pt>
              </c:strCache>
            </c:strRef>
          </c:cat>
          <c:val>
            <c:numRef>
              <c:f>要約掲載図表!$G$108:$G$109</c:f>
              <c:numCache>
                <c:formatCode>0.0</c:formatCode>
                <c:ptCount val="2"/>
                <c:pt idx="0">
                  <c:v>32.299999999999997</c:v>
                </c:pt>
                <c:pt idx="1">
                  <c:v>38.200000000000003</c:v>
                </c:pt>
              </c:numCache>
            </c:numRef>
          </c:val>
          <c:extLst>
            <c:ext xmlns:c16="http://schemas.microsoft.com/office/drawing/2014/chart" uri="{C3380CC4-5D6E-409C-BE32-E72D297353CC}">
              <c16:uniqueId val="{00000008-FEA0-4310-B209-79A5461EE855}"/>
            </c:ext>
          </c:extLst>
        </c:ser>
        <c:ser>
          <c:idx val="5"/>
          <c:order val="5"/>
          <c:tx>
            <c:strRef>
              <c:f>要約掲載図表!$H$107</c:f>
              <c:strCache>
                <c:ptCount val="1"/>
                <c:pt idx="0">
                  <c:v>子はいない</c:v>
                </c:pt>
              </c:strCache>
            </c:strRef>
          </c:tx>
          <c:spPr>
            <a:pattFill prst="ltUpDiag">
              <a:fgClr>
                <a:schemeClr val="accent5"/>
              </a:fgClr>
              <a:bgClr>
                <a:schemeClr val="bg1"/>
              </a:bgClr>
            </a:pattFill>
            <a:ln>
              <a:solidFill>
                <a:schemeClr val="tx1"/>
              </a:solidFill>
            </a:ln>
          </c:spPr>
          <c:invertIfNegative val="0"/>
          <c:dPt>
            <c:idx val="1"/>
            <c:invertIfNegative val="0"/>
            <c:bubble3D val="0"/>
            <c:extLst>
              <c:ext xmlns:c16="http://schemas.microsoft.com/office/drawing/2014/chart" uri="{C3380CC4-5D6E-409C-BE32-E72D297353CC}">
                <c16:uniqueId val="{00000009-FEA0-4310-B209-79A5461EE855}"/>
              </c:ext>
            </c:extLst>
          </c:dPt>
          <c:dLbls>
            <c:dLbl>
              <c:idx val="1"/>
              <c:layout>
                <c:manualLayout>
                  <c:x val="1.1216405778489159E-2"/>
                  <c:y val="-0.19035699430802611"/>
                </c:manualLayout>
              </c:layout>
              <c:tx>
                <c:rich>
                  <a:bodyPr horzOverflow="overflow"/>
                  <a:lstStyle/>
                  <a:p>
                    <a:pPr>
                      <a:defRPr sz="600">
                        <a:solidFill>
                          <a:schemeClr val="tx1"/>
                        </a:solidFill>
                      </a:defRPr>
                    </a:pPr>
                    <a:r>
                      <a:rPr lang="ja-JP" altLang="en-US" sz="600">
                        <a:solidFill>
                          <a:schemeClr val="tx1"/>
                        </a:solidFill>
                      </a:rPr>
                      <a:t>子はいない</a:t>
                    </a:r>
                    <a:r>
                      <a:rPr lang="en-US" altLang="ja-JP" sz="600">
                        <a:solidFill>
                          <a:schemeClr val="tx1"/>
                        </a:solidFill>
                      </a:rPr>
                      <a:t>,</a:t>
                    </a:r>
                  </a:p>
                  <a:p>
                    <a:pPr>
                      <a:defRPr sz="600">
                        <a:solidFill>
                          <a:schemeClr val="tx1"/>
                        </a:solidFill>
                      </a:defRPr>
                    </a:pPr>
                    <a:r>
                      <a:rPr lang="en-US" altLang="ja-JP" sz="600">
                        <a:solidFill>
                          <a:schemeClr val="tx1"/>
                        </a:solidFill>
                      </a:rPr>
                      <a:t> 11.7</a:t>
                    </a:r>
                  </a:p>
                </c:rich>
              </c:tx>
              <c:spPr>
                <a:solidFill>
                  <a:schemeClr val="bg1"/>
                </a:solidFill>
                <a:ln w="3175">
                  <a:solidFill>
                    <a:sysClr val="windowText" lastClr="000000"/>
                  </a:solidFill>
                </a:ln>
              </c:spPr>
              <c:showLegendKey val="0"/>
              <c:showVal val="1"/>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EA0-4310-B209-79A5461EE855}"/>
                </c:ext>
              </c:extLst>
            </c:dLbl>
            <c:spPr>
              <a:solidFill>
                <a:schemeClr val="bg1"/>
              </a:solidFill>
            </c:spPr>
            <c:txPr>
              <a:bodyPr rot="0" horzOverflow="overflow" anchor="ctr" anchorCtr="1"/>
              <a:lstStyle/>
              <a:p>
                <a:pPr algn="ctr" rtl="0">
                  <a:defRPr sz="7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要約掲載図表!$B$108:$B$109</c:f>
              <c:strCache>
                <c:ptCount val="2"/>
                <c:pt idx="0">
                  <c:v>高齢単身世帯</c:v>
                </c:pt>
                <c:pt idx="1">
                  <c:v>高齢者のいる
夫婦のみの世帯</c:v>
                </c:pt>
              </c:strCache>
            </c:strRef>
          </c:cat>
          <c:val>
            <c:numRef>
              <c:f>要約掲載図表!$H$108:$H$109</c:f>
              <c:numCache>
                <c:formatCode>0.0</c:formatCode>
                <c:ptCount val="2"/>
                <c:pt idx="0">
                  <c:v>26.7</c:v>
                </c:pt>
                <c:pt idx="1">
                  <c:v>11.7</c:v>
                </c:pt>
              </c:numCache>
            </c:numRef>
          </c:val>
          <c:extLst>
            <c:ext xmlns:c16="http://schemas.microsoft.com/office/drawing/2014/chart" uri="{C3380CC4-5D6E-409C-BE32-E72D297353CC}">
              <c16:uniqueId val="{0000000A-FEA0-4310-B209-79A5461EE855}"/>
            </c:ext>
          </c:extLst>
        </c:ser>
        <c:dLbls>
          <c:showLegendKey val="0"/>
          <c:showVal val="0"/>
          <c:showCatName val="0"/>
          <c:showSerName val="0"/>
          <c:showPercent val="0"/>
          <c:showBubbleSize val="0"/>
        </c:dLbls>
        <c:gapWidth val="60"/>
        <c:overlap val="100"/>
        <c:serLines/>
        <c:axId val="1"/>
        <c:axId val="2"/>
      </c:barChart>
      <c:catAx>
        <c:axId val="1"/>
        <c:scaling>
          <c:orientation val="minMax"/>
        </c:scaling>
        <c:delete val="0"/>
        <c:axPos val="l"/>
        <c:numFmt formatCode="General" sourceLinked="0"/>
        <c:majorTickMark val="none"/>
        <c:minorTickMark val="none"/>
        <c:tickLblPos val="nextTo"/>
        <c:txPr>
          <a:bodyPr horzOverflow="overflow" anchor="ctr" anchorCtr="1"/>
          <a:lstStyle/>
          <a:p>
            <a:pPr algn="ctr" rtl="0">
              <a:defRPr sz="800">
                <a:solidFill>
                  <a:schemeClr val="tx1"/>
                </a:solidFill>
              </a:defRPr>
            </a:pPr>
            <a:endParaRPr lang="ja-JP"/>
          </a:p>
        </c:txPr>
        <c:crossAx val="2"/>
        <c:crosses val="autoZero"/>
        <c:auto val="1"/>
        <c:lblAlgn val="ctr"/>
        <c:lblOffset val="100"/>
        <c:noMultiLvlLbl val="0"/>
      </c:catAx>
      <c:valAx>
        <c:axId val="2"/>
        <c:scaling>
          <c:orientation val="minMax"/>
        </c:scaling>
        <c:delete val="0"/>
        <c:axPos val="b"/>
        <c:numFmt formatCode="0%" sourceLinked="1"/>
        <c:majorTickMark val="cross"/>
        <c:minorTickMark val="in"/>
        <c:tickLblPos val="nextTo"/>
        <c:crossAx val="1"/>
        <c:crosses val="autoZero"/>
        <c:crossBetween val="between"/>
        <c:majorUnit val="0.2"/>
        <c:minorUnit val="0.1"/>
      </c:valAx>
      <c:spPr>
        <a:noFill/>
        <a:ln>
          <a:solidFill>
            <a:schemeClr val="tx1"/>
          </a:solidFill>
        </a:ln>
      </c:spPr>
    </c:plotArea>
    <c:plotVisOnly val="1"/>
    <c:dispBlanksAs val="gap"/>
    <c:showDLblsOverMax val="0"/>
  </c:chart>
  <c:txPr>
    <a:bodyPr anchor="ctr" anchorCtr="1"/>
    <a:lstStyle/>
    <a:p>
      <a:pPr algn="ctr" rtl="0">
        <a:defRPr lang="ja-JP" altLang="en-US" sz="1000">
          <a:solidFill>
            <a:schemeClr val="tx1"/>
          </a:solidFill>
        </a:defRPr>
      </a:pPr>
      <a:endParaRPr lang="ja-JP"/>
    </a:p>
  </c:txPr>
  <c:externalData r:id="rId2">
    <c:autoUpdate val="0"/>
  </c:externalData>
  <c:userShapes r:id="rId3"/>
  <c:extLst/>
</c:chartSpace>
</file>

<file path=word/drawings/drawing1.xml><?xml version="1.0" encoding="utf-8"?>
<c:userShapes xmlns:c="http://schemas.openxmlformats.org/drawingml/2006/chart">
  <cdr:relSizeAnchor xmlns:cdr="http://schemas.openxmlformats.org/drawingml/2006/chartDrawing">
    <cdr:from>
      <cdr:x>0.64725</cdr:x>
      <cdr:y>0.24275</cdr:y>
    </cdr:from>
    <cdr:to>
      <cdr:x>0.75975</cdr:x>
      <cdr:y>0.3695</cdr:y>
    </cdr:to>
    <cdr:sp macro="" textlink="">
      <cdr:nvSpPr>
        <cdr:cNvPr id="3" name="線吹き出し 2 (枠付き) 2"/>
        <cdr:cNvSpPr/>
      </cdr:nvSpPr>
      <cdr:spPr>
        <a:xfrm xmlns:a="http://schemas.openxmlformats.org/drawingml/2006/main">
          <a:off x="3703965" y="214725"/>
          <a:ext cx="643794" cy="112117"/>
        </a:xfrm>
        <a:prstGeom xmlns:a="http://schemas.openxmlformats.org/drawingml/2006/main" prst="borderCallout2">
          <a:avLst>
            <a:gd name="adj1" fmla="val 14933"/>
            <a:gd name="adj2" fmla="val 101036"/>
            <a:gd name="adj3" fmla="val 14932"/>
            <a:gd name="adj4" fmla="val 115329"/>
            <a:gd name="adj5" fmla="val 135056"/>
            <a:gd name="adj6" fmla="val 128282"/>
          </a:avLst>
        </a:prstGeom>
        <a:solidFill xmlns:a="http://schemas.openxmlformats.org/drawingml/2006/main">
          <a:schemeClr val="bg1"/>
        </a:solidFill>
        <a:ln xmlns:a="http://schemas.openxmlformats.org/drawingml/2006/main" w="3175" cmpd="sng">
          <a:solidFill>
            <a:schemeClr val="tx1"/>
          </a:solidFill>
          <a:tailEnd type="triangle" w="sm" len="sm"/>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900">
              <a:solidFill>
                <a:sysClr val="windowText" lastClr="000000"/>
              </a:solidFill>
            </a:rPr>
            <a:t>長屋建　</a:t>
          </a:r>
          <a:r>
            <a:rPr lang="en-US" altLang="ja-JP" sz="900">
              <a:solidFill>
                <a:sysClr val="windowText" lastClr="000000"/>
              </a:solidFill>
            </a:rPr>
            <a:t>2.3</a:t>
          </a:r>
          <a:endParaRPr lang="ja-JP" sz="900">
            <a:solidFill>
              <a:sysClr val="windowText" lastClr="000000"/>
            </a:solidFill>
          </a:endParaRPr>
        </a:p>
      </cdr:txBody>
    </cdr:sp>
  </cdr:relSizeAnchor>
  <cdr:relSizeAnchor xmlns:cdr="http://schemas.openxmlformats.org/drawingml/2006/chartDrawing">
    <cdr:from>
      <cdr:x>0.82225</cdr:x>
      <cdr:y>0.239</cdr:y>
    </cdr:from>
    <cdr:to>
      <cdr:x>0.92375</cdr:x>
      <cdr:y>0.36575</cdr:y>
    </cdr:to>
    <cdr:sp macro="" textlink="">
      <cdr:nvSpPr>
        <cdr:cNvPr id="6" name="線吹き出し 2 (枠付き) 5"/>
        <cdr:cNvSpPr/>
      </cdr:nvSpPr>
      <cdr:spPr>
        <a:xfrm xmlns:a="http://schemas.openxmlformats.org/drawingml/2006/main">
          <a:off x="4705424" y="211408"/>
          <a:ext cx="580845" cy="112117"/>
        </a:xfrm>
        <a:prstGeom xmlns:a="http://schemas.openxmlformats.org/drawingml/2006/main" prst="borderCallout2">
          <a:avLst>
            <a:gd name="adj1" fmla="val 14933"/>
            <a:gd name="adj2" fmla="val 101036"/>
            <a:gd name="adj3" fmla="val 14932"/>
            <a:gd name="adj4" fmla="val 115329"/>
            <a:gd name="adj5" fmla="val 134220"/>
            <a:gd name="adj6" fmla="val 138585"/>
          </a:avLst>
        </a:prstGeom>
        <a:solidFill xmlns:a="http://schemas.openxmlformats.org/drawingml/2006/main">
          <a:schemeClr val="bg1"/>
        </a:solidFill>
        <a:ln xmlns:a="http://schemas.openxmlformats.org/drawingml/2006/main" w="3175" cmpd="sng">
          <a:solidFill>
            <a:schemeClr val="tx1"/>
          </a:solidFill>
          <a:tailEnd type="triangle" w="sm" len="sm"/>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900">
              <a:solidFill>
                <a:sysClr val="windowText" lastClr="000000"/>
              </a:solidFill>
            </a:rPr>
            <a:t>その他　</a:t>
          </a:r>
          <a:r>
            <a:rPr lang="en-US" altLang="ja-JP" sz="900">
              <a:solidFill>
                <a:sysClr val="windowText" lastClr="000000"/>
              </a:solidFill>
            </a:rPr>
            <a:t>0.2</a:t>
          </a:r>
          <a:endParaRPr lang="ja-JP" sz="900">
            <a:solidFill>
              <a:sysClr val="windowText" lastClr="000000"/>
            </a:solidFill>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0.01059</cdr:x>
      <cdr:y>0.03353</cdr:y>
    </cdr:from>
    <cdr:to>
      <cdr:x>0.05484</cdr:x>
      <cdr:y>0.10528</cdr:y>
    </cdr:to>
    <cdr:sp macro="" textlink="">
      <cdr:nvSpPr>
        <cdr:cNvPr id="2" name="テキスト ボックス 1"/>
        <cdr:cNvSpPr txBox="1"/>
      </cdr:nvSpPr>
      <cdr:spPr>
        <a:xfrm xmlns:a="http://schemas.openxmlformats.org/drawingml/2006/main">
          <a:off x="66318" y="93256"/>
          <a:ext cx="277166" cy="199558"/>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11.xml><?xml version="1.0" encoding="utf-8"?>
<c:userShapes xmlns:c="http://schemas.openxmlformats.org/drawingml/2006/chart">
  <cdr:relSizeAnchor xmlns:cdr="http://schemas.openxmlformats.org/drawingml/2006/chartDrawing">
    <cdr:from>
      <cdr:x>0.01149</cdr:x>
      <cdr:y>0</cdr:y>
    </cdr:from>
    <cdr:to>
      <cdr:x>0.05574</cdr:x>
      <cdr:y>0.07175</cdr:y>
    </cdr:to>
    <cdr:sp macro="" textlink="">
      <cdr:nvSpPr>
        <cdr:cNvPr id="2" name="テキスト ボックス 1"/>
        <cdr:cNvSpPr txBox="1"/>
      </cdr:nvSpPr>
      <cdr:spPr>
        <a:xfrm xmlns:a="http://schemas.openxmlformats.org/drawingml/2006/main">
          <a:off x="71949" y="0"/>
          <a:ext cx="277166" cy="206392"/>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12.xml><?xml version="1.0" encoding="utf-8"?>
<c:userShapes xmlns:c="http://schemas.openxmlformats.org/drawingml/2006/chart">
  <cdr:relSizeAnchor xmlns:cdr="http://schemas.openxmlformats.org/drawingml/2006/chartDrawing">
    <cdr:from>
      <cdr:x>0.02429</cdr:x>
      <cdr:y>0.04128</cdr:y>
    </cdr:from>
    <cdr:to>
      <cdr:x>0.11629</cdr:x>
      <cdr:y>0.13903</cdr:y>
    </cdr:to>
    <cdr:sp macro="" textlink="">
      <cdr:nvSpPr>
        <cdr:cNvPr id="2" name="テキスト ボックス 1"/>
        <cdr:cNvSpPr txBox="1"/>
      </cdr:nvSpPr>
      <cdr:spPr>
        <a:xfrm xmlns:a="http://schemas.openxmlformats.org/drawingml/2006/main">
          <a:off x="122404" y="96714"/>
          <a:ext cx="463679" cy="229043"/>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800"/>
            <a:t>（千戸）</a:t>
          </a:r>
        </a:p>
      </cdr:txBody>
    </cdr:sp>
  </cdr:relSizeAnchor>
</c:userShapes>
</file>

<file path=word/drawings/drawing13.xml><?xml version="1.0" encoding="utf-8"?>
<c:userShapes xmlns:c="http://schemas.openxmlformats.org/drawingml/2006/chart">
  <cdr:relSizeAnchor xmlns:cdr="http://schemas.openxmlformats.org/drawingml/2006/chartDrawing">
    <cdr:from>
      <cdr:x>0.00933</cdr:x>
      <cdr:y>5.67906E-7</cdr:y>
    </cdr:from>
    <cdr:to>
      <cdr:x>0.08402</cdr:x>
      <cdr:y>0.07009</cdr:y>
    </cdr:to>
    <cdr:sp macro="" textlink="">
      <cdr:nvSpPr>
        <cdr:cNvPr id="2" name="テキスト ボックス 1"/>
        <cdr:cNvSpPr txBox="1"/>
      </cdr:nvSpPr>
      <cdr:spPr>
        <a:xfrm xmlns:a="http://schemas.openxmlformats.org/drawingml/2006/main">
          <a:off x="44245" y="1"/>
          <a:ext cx="354052" cy="123416"/>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14.xml><?xml version="1.0" encoding="utf-8"?>
<c:userShapes xmlns:c="http://schemas.openxmlformats.org/drawingml/2006/chart">
  <cdr:relSizeAnchor xmlns:cdr="http://schemas.openxmlformats.org/drawingml/2006/chartDrawing">
    <cdr:from>
      <cdr:x>0.87339</cdr:x>
      <cdr:y>0.15238</cdr:y>
    </cdr:from>
    <cdr:to>
      <cdr:x>0.92889</cdr:x>
      <cdr:y>0.19913</cdr:y>
    </cdr:to>
    <cdr:sp macro="" textlink="">
      <cdr:nvSpPr>
        <cdr:cNvPr id="2" name="線吹き出し 2 (枠付き) 1"/>
        <cdr:cNvSpPr/>
      </cdr:nvSpPr>
      <cdr:spPr>
        <a:xfrm xmlns:a="http://schemas.openxmlformats.org/drawingml/2006/main">
          <a:off x="4715786" y="411425"/>
          <a:ext cx="299667" cy="126226"/>
        </a:xfrm>
        <a:prstGeom xmlns:a="http://schemas.openxmlformats.org/drawingml/2006/main" prst="borderCallout2">
          <a:avLst>
            <a:gd name="adj1" fmla="val 197695"/>
            <a:gd name="adj2" fmla="val 139852"/>
            <a:gd name="adj3" fmla="val 48824"/>
            <a:gd name="adj4" fmla="val 115325"/>
            <a:gd name="adj5" fmla="val 44172"/>
            <a:gd name="adj6" fmla="val 104284"/>
          </a:avLst>
        </a:prstGeom>
        <a:solidFill xmlns:a="http://schemas.openxmlformats.org/drawingml/2006/main">
          <a:schemeClr val="bg1"/>
        </a:solidFill>
        <a:ln xmlns:a="http://schemas.openxmlformats.org/drawingml/2006/main" w="1270" cmpd="sng">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altLang="ja-JP" sz="700" b="1">
              <a:solidFill>
                <a:sysClr val="windowText" lastClr="000000"/>
              </a:solidFill>
              <a:latin typeface="+mj-ea"/>
              <a:ea typeface="+mj-ea"/>
            </a:rPr>
            <a:t>0.9</a:t>
          </a:r>
          <a:endParaRPr lang="ja-JP" sz="700" b="1">
            <a:solidFill>
              <a:sysClr val="windowText" lastClr="000000"/>
            </a:solidFill>
            <a:latin typeface="+mj-ea"/>
            <a:ea typeface="+mj-ea"/>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0.11459</cdr:x>
      <cdr:y>0.17237</cdr:y>
    </cdr:from>
    <cdr:to>
      <cdr:x>0.16584</cdr:x>
      <cdr:y>0.22237</cdr:y>
    </cdr:to>
    <cdr:sp macro="" textlink="">
      <cdr:nvSpPr>
        <cdr:cNvPr id="2" name="線吹き出し 2 (枠付き) 1"/>
        <cdr:cNvSpPr/>
      </cdr:nvSpPr>
      <cdr:spPr>
        <a:xfrm xmlns:a="http://schemas.openxmlformats.org/drawingml/2006/main">
          <a:off x="660064" y="465507"/>
          <a:ext cx="295221" cy="135033"/>
        </a:xfrm>
        <a:prstGeom xmlns:a="http://schemas.openxmlformats.org/drawingml/2006/main" prst="borderCallout2">
          <a:avLst>
            <a:gd name="adj1" fmla="val 18750"/>
            <a:gd name="adj2" fmla="val -8333"/>
            <a:gd name="adj3" fmla="val 18750"/>
            <a:gd name="adj4" fmla="val -16667"/>
            <a:gd name="adj5" fmla="val 137502"/>
            <a:gd name="adj6" fmla="val -50305"/>
          </a:avLst>
        </a:prstGeom>
        <a:solidFill xmlns:a="http://schemas.openxmlformats.org/drawingml/2006/main">
          <a:schemeClr val="bg1"/>
        </a:solidFill>
        <a:ln xmlns:a="http://schemas.openxmlformats.org/drawingml/2006/main" w="1270" cmpd="sng">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altLang="ja-JP" sz="800" b="1">
              <a:solidFill>
                <a:sysClr val="windowText" lastClr="000000"/>
              </a:solidFill>
              <a:latin typeface="+mj-ea"/>
              <a:ea typeface="+mj-ea"/>
            </a:rPr>
            <a:t>6.7</a:t>
          </a:r>
          <a:endParaRPr lang="ja-JP" sz="800" b="1">
            <a:solidFill>
              <a:sysClr val="windowText" lastClr="000000"/>
            </a:solidFill>
            <a:latin typeface="+mj-ea"/>
            <a:ea typeface="+mj-ea"/>
          </a:endParaRPr>
        </a:p>
      </cdr:txBody>
    </cdr:sp>
  </cdr:relSizeAnchor>
  <cdr:relSizeAnchor xmlns:cdr="http://schemas.openxmlformats.org/drawingml/2006/chartDrawing">
    <cdr:from>
      <cdr:x>0.07627</cdr:x>
      <cdr:y>0.54177</cdr:y>
    </cdr:from>
    <cdr:to>
      <cdr:x>0.12727</cdr:x>
      <cdr:y>0.59177</cdr:y>
    </cdr:to>
    <cdr:sp macro="" textlink="">
      <cdr:nvSpPr>
        <cdr:cNvPr id="4" name="線吹き出し 2 (枠付き) 3"/>
        <cdr:cNvSpPr/>
      </cdr:nvSpPr>
      <cdr:spPr>
        <a:xfrm xmlns:a="http://schemas.openxmlformats.org/drawingml/2006/main">
          <a:off x="439332" y="1463122"/>
          <a:ext cx="293765" cy="135032"/>
        </a:xfrm>
        <a:prstGeom xmlns:a="http://schemas.openxmlformats.org/drawingml/2006/main" prst="borderCallout2">
          <a:avLst>
            <a:gd name="adj1" fmla="val 77066"/>
            <a:gd name="adj2" fmla="val -12396"/>
            <a:gd name="adj3" fmla="val 73637"/>
            <a:gd name="adj4" fmla="val -26827"/>
            <a:gd name="adj5" fmla="val -27155"/>
            <a:gd name="adj6" fmla="val -42178"/>
          </a:avLst>
        </a:prstGeom>
        <a:solidFill xmlns:a="http://schemas.openxmlformats.org/drawingml/2006/main">
          <a:schemeClr val="bg1"/>
        </a:solidFill>
        <a:ln xmlns:a="http://schemas.openxmlformats.org/drawingml/2006/main" w="1270" cmpd="sng">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altLang="ja-JP" sz="800" b="1">
              <a:solidFill>
                <a:sysClr val="windowText" lastClr="000000"/>
              </a:solidFill>
              <a:latin typeface="+mj-ea"/>
              <a:ea typeface="+mj-ea"/>
            </a:rPr>
            <a:t>2.8</a:t>
          </a:r>
          <a:endParaRPr lang="ja-JP" sz="800" b="1">
            <a:solidFill>
              <a:sysClr val="windowText" lastClr="000000"/>
            </a:solidFill>
            <a:latin typeface="+mj-ea"/>
            <a:ea typeface="+mj-ea"/>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0.01546</cdr:x>
      <cdr:y>0.12036</cdr:y>
    </cdr:from>
    <cdr:to>
      <cdr:x>0.15783</cdr:x>
      <cdr:y>0.18536</cdr:y>
    </cdr:to>
    <cdr:sp macro="" textlink="">
      <cdr:nvSpPr>
        <cdr:cNvPr id="3" name="テキスト ボックス 1"/>
        <cdr:cNvSpPr txBox="1"/>
      </cdr:nvSpPr>
      <cdr:spPr>
        <a:xfrm xmlns:a="http://schemas.openxmlformats.org/drawingml/2006/main">
          <a:off x="43951" y="342244"/>
          <a:ext cx="404834" cy="184829"/>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600"/>
            <a:t>（％）</a:t>
          </a:r>
        </a:p>
      </cdr:txBody>
    </cdr:sp>
  </cdr:relSizeAnchor>
</c:userShapes>
</file>

<file path=word/drawings/drawing17.xml><?xml version="1.0" encoding="utf-8"?>
<c:userShapes xmlns:c="http://schemas.openxmlformats.org/drawingml/2006/chart">
  <cdr:relSizeAnchor xmlns:cdr="http://schemas.openxmlformats.org/drawingml/2006/chartDrawing">
    <cdr:from>
      <cdr:x>0.00852</cdr:x>
      <cdr:y>0</cdr:y>
    </cdr:from>
    <cdr:to>
      <cdr:x>0.05277</cdr:x>
      <cdr:y>0.07175</cdr:y>
    </cdr:to>
    <cdr:sp macro="" textlink="">
      <cdr:nvSpPr>
        <cdr:cNvPr id="2" name="テキスト ボックス 1"/>
        <cdr:cNvSpPr txBox="1"/>
      </cdr:nvSpPr>
      <cdr:spPr>
        <a:xfrm xmlns:a="http://schemas.openxmlformats.org/drawingml/2006/main">
          <a:off x="48123" y="0"/>
          <a:ext cx="250079" cy="175639"/>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600"/>
            <a:t>（％）</a:t>
          </a:r>
        </a:p>
      </cdr:txBody>
    </cdr:sp>
  </cdr:relSizeAnchor>
</c:userShapes>
</file>

<file path=word/drawings/drawing18.xml><?xml version="1.0" encoding="utf-8"?>
<c:userShapes xmlns:c="http://schemas.openxmlformats.org/drawingml/2006/chart">
  <cdr:relSizeAnchor xmlns:cdr="http://schemas.openxmlformats.org/drawingml/2006/chartDrawing">
    <cdr:from>
      <cdr:x>0.58375</cdr:x>
      <cdr:y>0.17575</cdr:y>
    </cdr:from>
    <cdr:to>
      <cdr:x>0.728</cdr:x>
      <cdr:y>0.29386</cdr:y>
    </cdr:to>
    <cdr:sp macro="" textlink="">
      <cdr:nvSpPr>
        <cdr:cNvPr id="2" name="線吹き出し 2 (枠付き) 1"/>
        <cdr:cNvSpPr/>
      </cdr:nvSpPr>
      <cdr:spPr>
        <a:xfrm xmlns:a="http://schemas.openxmlformats.org/drawingml/2006/main">
          <a:off x="3152273" y="482117"/>
          <a:ext cx="778956" cy="324000"/>
        </a:xfrm>
        <a:prstGeom xmlns:a="http://schemas.openxmlformats.org/drawingml/2006/main" prst="borderCallout2">
          <a:avLst>
            <a:gd name="adj1" fmla="val 17088"/>
            <a:gd name="adj2" fmla="val -411"/>
            <a:gd name="adj3" fmla="val 18750"/>
            <a:gd name="adj4" fmla="val -16667"/>
            <a:gd name="adj5" fmla="val 307069"/>
            <a:gd name="adj6" fmla="val -55622"/>
          </a:avLst>
        </a:prstGeom>
        <a:solidFill xmlns:a="http://schemas.openxmlformats.org/drawingml/2006/main">
          <a:schemeClr val="bg1"/>
        </a:solidFill>
        <a:ln xmlns:a="http://schemas.openxmlformats.org/drawingml/2006/main" w="3175">
          <a:solidFill>
            <a:schemeClr val="tx1"/>
          </a:solidFill>
          <a:tailEnd type="triangle" w="sm" len="sm"/>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horzOverflow="overflow" wrap="square" lIns="0" tIns="0" rIns="0" bIns="0" anchor="ctr" anchorCtr="1">
          <a:noAutofit/>
        </a:bodyPr>
        <a:lstStyle xmlns:a="http://schemas.openxmlformats.org/drawingml/2006/main"/>
        <a:p xmlns:a="http://schemas.openxmlformats.org/drawingml/2006/main">
          <a:r>
            <a:rPr lang="ja-JP" altLang="en-US" sz="900">
              <a:solidFill>
                <a:sysClr val="windowText" lastClr="000000"/>
              </a:solidFill>
              <a:latin typeface="+mj-ea"/>
              <a:ea typeface="+mj-ea"/>
            </a:rPr>
            <a:t>耐震</a:t>
          </a:r>
          <a:r>
            <a:rPr lang="ja-JP" altLang="en-US" sz="800">
              <a:solidFill>
                <a:sysClr val="windowText" lastClr="000000"/>
              </a:solidFill>
              <a:latin typeface="+mj-ea"/>
              <a:ea typeface="+mj-ea"/>
            </a:rPr>
            <a:t>診断　有</a:t>
          </a:r>
          <a:endParaRPr lang="en-US" altLang="ja-JP" sz="800">
            <a:solidFill>
              <a:sysClr val="windowText" lastClr="000000"/>
            </a:solidFill>
            <a:latin typeface="+mj-ea"/>
            <a:ea typeface="+mj-ea"/>
          </a:endParaRPr>
        </a:p>
        <a:p xmlns:a="http://schemas.openxmlformats.org/drawingml/2006/main">
          <a:r>
            <a:rPr lang="ja-JP" altLang="en-US" sz="700">
              <a:solidFill>
                <a:sysClr val="windowText" lastClr="000000"/>
              </a:solidFill>
              <a:latin typeface="+mj-ea"/>
              <a:ea typeface="+mj-ea"/>
            </a:rPr>
            <a:t>　　　</a:t>
          </a:r>
          <a:r>
            <a:rPr lang="en-US" altLang="ja-JP" sz="900">
              <a:solidFill>
                <a:sysClr val="windowText" lastClr="000000"/>
              </a:solidFill>
              <a:latin typeface="+mj-ea"/>
              <a:ea typeface="+mj-ea"/>
            </a:rPr>
            <a:t>4.8</a:t>
          </a:r>
          <a:endParaRPr lang="ja-JP" sz="700">
            <a:solidFill>
              <a:sysClr val="windowText" lastClr="000000"/>
            </a:solidFill>
            <a:latin typeface="+mj-ea"/>
            <a:ea typeface="+mj-ea"/>
          </a:endParaRPr>
        </a:p>
      </cdr:txBody>
    </cdr:sp>
  </cdr:relSizeAnchor>
  <cdr:relSizeAnchor xmlns:cdr="http://schemas.openxmlformats.org/drawingml/2006/chartDrawing">
    <cdr:from>
      <cdr:x>0.7721</cdr:x>
      <cdr:y>0.79034</cdr:y>
    </cdr:from>
    <cdr:to>
      <cdr:x>0.93995</cdr:x>
      <cdr:y>0.8945</cdr:y>
    </cdr:to>
    <cdr:sp macro="" textlink="">
      <cdr:nvSpPr>
        <cdr:cNvPr id="3" name="線吹き出し 2 (枠付き) 2"/>
        <cdr:cNvSpPr/>
      </cdr:nvSpPr>
      <cdr:spPr>
        <a:xfrm xmlns:a="http://schemas.openxmlformats.org/drawingml/2006/main">
          <a:off x="4169384" y="2168047"/>
          <a:ext cx="906397" cy="285759"/>
        </a:xfrm>
        <a:prstGeom xmlns:a="http://schemas.openxmlformats.org/drawingml/2006/main" prst="borderCallout2">
          <a:avLst>
            <a:gd name="adj1" fmla="val 16787"/>
            <a:gd name="adj2" fmla="val 951"/>
            <a:gd name="adj3" fmla="val 18750"/>
            <a:gd name="adj4" fmla="val -16667"/>
            <a:gd name="adj5" fmla="val -32662"/>
            <a:gd name="adj6" fmla="val -29800"/>
          </a:avLst>
        </a:prstGeom>
        <a:solidFill xmlns:a="http://schemas.openxmlformats.org/drawingml/2006/main">
          <a:schemeClr val="bg1"/>
        </a:solidFill>
        <a:ln xmlns:a="http://schemas.openxmlformats.org/drawingml/2006/main" w="3175">
          <a:solidFill>
            <a:schemeClr val="tx1"/>
          </a:solidFill>
          <a:tailEnd type="triangle" w="sm" len="sm"/>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wrap="square" lIns="0" tIns="0" rIns="0" bIns="0" anchor="ctr" anchorCtr="1">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800">
              <a:solidFill>
                <a:sysClr val="windowText" lastClr="000000"/>
              </a:solidFill>
              <a:latin typeface="+mj-ea"/>
              <a:ea typeface="+mj-ea"/>
            </a:rPr>
            <a:t>耐震性非確保</a:t>
          </a:r>
          <a:endParaRPr lang="en-US" altLang="ja-JP" sz="800">
            <a:solidFill>
              <a:sysClr val="windowText" lastClr="000000"/>
            </a:solidFill>
            <a:latin typeface="+mj-ea"/>
            <a:ea typeface="+mj-ea"/>
          </a:endParaRPr>
        </a:p>
        <a:p xmlns:a="http://schemas.openxmlformats.org/drawingml/2006/main">
          <a:r>
            <a:rPr lang="ja-JP" altLang="en-US" sz="800">
              <a:solidFill>
                <a:sysClr val="windowText" lastClr="000000"/>
              </a:solidFill>
              <a:latin typeface="+mj-ea"/>
              <a:ea typeface="+mj-ea"/>
            </a:rPr>
            <a:t>　　　</a:t>
          </a:r>
          <a:r>
            <a:rPr lang="en-US" altLang="ja-JP" sz="800">
              <a:solidFill>
                <a:sysClr val="windowText" lastClr="000000"/>
              </a:solidFill>
              <a:latin typeface="+mj-ea"/>
              <a:ea typeface="+mj-ea"/>
            </a:rPr>
            <a:t>0.2</a:t>
          </a:r>
          <a:endParaRPr lang="ja-JP" sz="800">
            <a:solidFill>
              <a:sysClr val="windowText" lastClr="000000"/>
            </a:solidFill>
            <a:latin typeface="+mj-ea"/>
            <a:ea typeface="+mj-ea"/>
          </a:endParaRPr>
        </a:p>
      </cdr:txBody>
    </cdr:sp>
  </cdr:relSizeAnchor>
</c:userShapes>
</file>

<file path=word/drawings/drawing19.xml><?xml version="1.0" encoding="utf-8"?>
<c:userShapes xmlns:c="http://schemas.openxmlformats.org/drawingml/2006/chart">
  <cdr:relSizeAnchor xmlns:cdr="http://schemas.openxmlformats.org/drawingml/2006/chartDrawing">
    <cdr:from>
      <cdr:x>0.0205</cdr:x>
      <cdr:y>0.10825</cdr:y>
    </cdr:from>
    <cdr:to>
      <cdr:x>0.15675</cdr:x>
      <cdr:y>0.173</cdr:y>
    </cdr:to>
    <cdr:sp macro="" textlink="">
      <cdr:nvSpPr>
        <cdr:cNvPr id="3" name="テキスト ボックス 1"/>
        <cdr:cNvSpPr txBox="1"/>
      </cdr:nvSpPr>
      <cdr:spPr>
        <a:xfrm xmlns:a="http://schemas.openxmlformats.org/drawingml/2006/main">
          <a:off x="58474" y="272824"/>
          <a:ext cx="388642" cy="163190"/>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600"/>
            <a:t>（千世帯）</a:t>
          </a:r>
        </a:p>
      </cdr:txBody>
    </cdr:sp>
  </cdr:relSizeAnchor>
</c:userShapes>
</file>

<file path=word/drawings/drawing2.xml><?xml version="1.0" encoding="utf-8"?>
<c:userShapes xmlns:c="http://schemas.openxmlformats.org/drawingml/2006/chart">
  <cdr:relSizeAnchor xmlns:cdr="http://schemas.openxmlformats.org/drawingml/2006/chartDrawing">
    <cdr:from>
      <cdr:x>0.83425</cdr:x>
      <cdr:y>0.7485</cdr:y>
    </cdr:from>
    <cdr:to>
      <cdr:x>0.91075</cdr:x>
      <cdr:y>0.86275</cdr:y>
    </cdr:to>
    <cdr:sp macro="" textlink="">
      <cdr:nvSpPr>
        <cdr:cNvPr id="4" name="線吹き出し 2 (枠付き) 3"/>
        <cdr:cNvSpPr/>
      </cdr:nvSpPr>
      <cdr:spPr>
        <a:xfrm xmlns:a="http://schemas.openxmlformats.org/drawingml/2006/main">
          <a:off x="4848790" y="703440"/>
          <a:ext cx="444629" cy="107372"/>
        </a:xfrm>
        <a:prstGeom xmlns:a="http://schemas.openxmlformats.org/drawingml/2006/main" prst="borderCallout2">
          <a:avLst>
            <a:gd name="adj1" fmla="val 80540"/>
            <a:gd name="adj2" fmla="val 102560"/>
            <a:gd name="adj3" fmla="val 80586"/>
            <a:gd name="adj4" fmla="val 118891"/>
            <a:gd name="adj5" fmla="val -77814"/>
            <a:gd name="adj6" fmla="val 154433"/>
          </a:avLst>
        </a:prstGeom>
        <a:solidFill xmlns:a="http://schemas.openxmlformats.org/drawingml/2006/main">
          <a:schemeClr val="bg1"/>
        </a:solidFill>
        <a:ln xmlns:a="http://schemas.openxmlformats.org/drawingml/2006/main" w="3175" cmpd="sng">
          <a:solidFill>
            <a:schemeClr val="tx1"/>
          </a:solidFill>
          <a:tailEnd type="triangle" w="sm" len="sm"/>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800">
              <a:solidFill>
                <a:sysClr val="windowText" lastClr="000000"/>
              </a:solidFill>
            </a:rPr>
            <a:t>不詳 </a:t>
          </a:r>
          <a:r>
            <a:rPr lang="en-US" altLang="ja-JP" sz="800">
              <a:solidFill>
                <a:sysClr val="windowText" lastClr="000000"/>
              </a:solidFill>
            </a:rPr>
            <a:t>0.9</a:t>
          </a:r>
          <a:endParaRPr lang="ja-JP" sz="800">
            <a:solidFill>
              <a:sysClr val="windowText" lastClr="000000"/>
            </a:solidFill>
          </a:endParaRPr>
        </a:p>
      </cdr:txBody>
    </cdr:sp>
  </cdr:relSizeAnchor>
  <cdr:relSizeAnchor xmlns:cdr="http://schemas.openxmlformats.org/drawingml/2006/chartDrawing">
    <cdr:from>
      <cdr:x>0.7715</cdr:x>
      <cdr:y>0.22925</cdr:y>
    </cdr:from>
    <cdr:to>
      <cdr:x>0.8915</cdr:x>
      <cdr:y>0.3435</cdr:y>
    </cdr:to>
    <cdr:sp macro="" textlink="">
      <cdr:nvSpPr>
        <cdr:cNvPr id="5" name="線吹き出し 2 (枠付き) 4"/>
        <cdr:cNvSpPr/>
      </cdr:nvSpPr>
      <cdr:spPr>
        <a:xfrm xmlns:a="http://schemas.openxmlformats.org/drawingml/2006/main">
          <a:off x="4484077" y="215449"/>
          <a:ext cx="697458" cy="107372"/>
        </a:xfrm>
        <a:prstGeom xmlns:a="http://schemas.openxmlformats.org/drawingml/2006/main" prst="borderCallout2">
          <a:avLst>
            <a:gd name="adj1" fmla="val 18750"/>
            <a:gd name="adj2" fmla="val 104753"/>
            <a:gd name="adj3" fmla="val 17949"/>
            <a:gd name="adj4" fmla="val 117907"/>
            <a:gd name="adj5" fmla="val 163760"/>
            <a:gd name="adj6" fmla="val 137774"/>
          </a:avLst>
        </a:prstGeom>
        <a:solidFill xmlns:a="http://schemas.openxmlformats.org/drawingml/2006/main">
          <a:schemeClr val="bg1"/>
        </a:solidFill>
        <a:ln xmlns:a="http://schemas.openxmlformats.org/drawingml/2006/main" w="3175" cmpd="sng">
          <a:solidFill>
            <a:schemeClr val="tx1"/>
          </a:solidFill>
          <a:tailEnd type="triangle" w="sm" len="sm"/>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800">
              <a:solidFill>
                <a:sysClr val="windowText" lastClr="000000"/>
              </a:solidFill>
            </a:rPr>
            <a:t>給与住宅 </a:t>
          </a:r>
          <a:r>
            <a:rPr lang="en-US" altLang="ja-JP" sz="800">
              <a:solidFill>
                <a:sysClr val="windowText" lastClr="000000"/>
              </a:solidFill>
            </a:rPr>
            <a:t>1.8</a:t>
          </a:r>
          <a:endParaRPr lang="ja-JP" sz="800">
            <a:solidFill>
              <a:sysClr val="windowText" lastClr="000000"/>
            </a:solidFill>
          </a:endParaRPr>
        </a:p>
      </cdr:txBody>
    </cdr:sp>
  </cdr:relSizeAnchor>
  <cdr:relSizeAnchor xmlns:cdr="http://schemas.openxmlformats.org/drawingml/2006/chartDrawing">
    <cdr:from>
      <cdr:x>0.51425</cdr:x>
      <cdr:y>0.2165</cdr:y>
    </cdr:from>
    <cdr:to>
      <cdr:x>0.70775</cdr:x>
      <cdr:y>0.33075</cdr:y>
    </cdr:to>
    <cdr:sp macro="" textlink="">
      <cdr:nvSpPr>
        <cdr:cNvPr id="6" name="線吹き出し 2 (枠付き) 5"/>
        <cdr:cNvSpPr/>
      </cdr:nvSpPr>
      <cdr:spPr>
        <a:xfrm xmlns:a="http://schemas.openxmlformats.org/drawingml/2006/main">
          <a:off x="2988900" y="203466"/>
          <a:ext cx="1124651" cy="107372"/>
        </a:xfrm>
        <a:prstGeom xmlns:a="http://schemas.openxmlformats.org/drawingml/2006/main" prst="borderCallout2">
          <a:avLst>
            <a:gd name="adj1" fmla="val 18750"/>
            <a:gd name="adj2" fmla="val 104753"/>
            <a:gd name="adj3" fmla="val 17949"/>
            <a:gd name="adj4" fmla="val 117907"/>
            <a:gd name="adj5" fmla="val 174785"/>
            <a:gd name="adj6" fmla="val 129013"/>
          </a:avLst>
        </a:prstGeom>
        <a:solidFill xmlns:a="http://schemas.openxmlformats.org/drawingml/2006/main">
          <a:schemeClr val="bg1"/>
        </a:solidFill>
        <a:ln xmlns:a="http://schemas.openxmlformats.org/drawingml/2006/main" w="3175" cmpd="sng">
          <a:solidFill>
            <a:schemeClr val="tx1"/>
          </a:solidFill>
          <a:tailEnd type="triangle" w="sm" len="sm"/>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800">
              <a:solidFill>
                <a:sysClr val="windowText" lastClr="000000"/>
              </a:solidFill>
            </a:rPr>
            <a:t>公営・公社等の借家</a:t>
          </a:r>
          <a:r>
            <a:rPr lang="ja-JP" altLang="en-US" sz="800" baseline="0">
              <a:solidFill>
                <a:sysClr val="windowText" lastClr="000000"/>
              </a:solidFill>
            </a:rPr>
            <a:t> </a:t>
          </a:r>
          <a:r>
            <a:rPr lang="en-US" altLang="ja-JP" sz="800" baseline="0">
              <a:solidFill>
                <a:sysClr val="windowText" lastClr="000000"/>
              </a:solidFill>
            </a:rPr>
            <a:t>3</a:t>
          </a:r>
          <a:r>
            <a:rPr lang="en-US" altLang="ja-JP" sz="800">
              <a:solidFill>
                <a:sysClr val="windowText" lastClr="000000"/>
              </a:solidFill>
            </a:rPr>
            <a:t>.2</a:t>
          </a:r>
          <a:endParaRPr lang="ja-JP" sz="800">
            <a:solidFill>
              <a:sysClr val="windowText" lastClr="000000"/>
            </a:solidFill>
          </a:endParaRPr>
        </a:p>
      </cdr:txBody>
    </cdr:sp>
  </cdr:relSizeAnchor>
</c:userShapes>
</file>

<file path=word/drawings/drawing20.xml><?xml version="1.0" encoding="utf-8"?>
<c:userShapes xmlns:c="http://schemas.openxmlformats.org/drawingml/2006/chart">
  <cdr:relSizeAnchor xmlns:cdr="http://schemas.openxmlformats.org/drawingml/2006/chartDrawing">
    <cdr:from>
      <cdr:x>0.0205</cdr:x>
      <cdr:y>0.10825</cdr:y>
    </cdr:from>
    <cdr:to>
      <cdr:x>0.15675</cdr:x>
      <cdr:y>0.173</cdr:y>
    </cdr:to>
    <cdr:sp macro="" textlink="">
      <cdr:nvSpPr>
        <cdr:cNvPr id="3" name="テキスト ボックス 1"/>
        <cdr:cNvSpPr txBox="1"/>
      </cdr:nvSpPr>
      <cdr:spPr>
        <a:xfrm xmlns:a="http://schemas.openxmlformats.org/drawingml/2006/main">
          <a:off x="58474" y="272892"/>
          <a:ext cx="388642" cy="163231"/>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600"/>
            <a:t>（千世帯）</a:t>
          </a:r>
        </a:p>
      </cdr:txBody>
    </cdr:sp>
  </cdr:relSizeAnchor>
</c:userShapes>
</file>

<file path=word/drawings/drawing21.xml><?xml version="1.0" encoding="utf-8"?>
<c:userShapes xmlns:c="http://schemas.openxmlformats.org/drawingml/2006/chart">
  <cdr:relSizeAnchor xmlns:cdr="http://schemas.openxmlformats.org/drawingml/2006/chartDrawing">
    <cdr:from>
      <cdr:x>0.84723</cdr:x>
      <cdr:y>0.18359</cdr:y>
    </cdr:from>
    <cdr:to>
      <cdr:x>0.92005</cdr:x>
      <cdr:y>0.2795</cdr:y>
    </cdr:to>
    <cdr:cxnSp macro="">
      <cdr:nvCxnSpPr>
        <cdr:cNvPr id="2" name="直線矢印コネクタ 1"/>
        <cdr:cNvCxnSpPr/>
      </cdr:nvCxnSpPr>
      <cdr:spPr>
        <a:xfrm xmlns:a="http://schemas.openxmlformats.org/drawingml/2006/main">
          <a:off x="4633708" y="375857"/>
          <a:ext cx="398296" cy="196344"/>
        </a:xfrm>
        <a:prstGeom xmlns:a="http://schemas.openxmlformats.org/drawingml/2006/main" prst="straightConnector1">
          <a:avLst/>
        </a:prstGeom>
        <a:ln xmlns:a="http://schemas.openxmlformats.org/drawingml/2006/main" w="6350">
          <a:headEnd type="none" w="med" len="med"/>
          <a:tailEnd type="triangle" w="med" len="me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0.9457</cdr:x>
      <cdr:y>0.18359</cdr:y>
    </cdr:from>
    <cdr:to>
      <cdr:x>0.9539</cdr:x>
      <cdr:y>0.29868</cdr:y>
    </cdr:to>
    <cdr:cxnSp macro="">
      <cdr:nvCxnSpPr>
        <cdr:cNvPr id="4" name="直線矢印コネクタ 3"/>
        <cdr:cNvCxnSpPr/>
      </cdr:nvCxnSpPr>
      <cdr:spPr>
        <a:xfrm xmlns:a="http://schemas.openxmlformats.org/drawingml/2006/main" flipH="1">
          <a:off x="5172250" y="375857"/>
          <a:ext cx="44878" cy="235613"/>
        </a:xfrm>
        <a:prstGeom xmlns:a="http://schemas.openxmlformats.org/drawingml/2006/main" prst="straightConnector1">
          <a:avLst/>
        </a:prstGeom>
        <a:ln xmlns:a="http://schemas.openxmlformats.org/drawingml/2006/main" w="6350">
          <a:headEnd type="none" w="med" len="med"/>
          <a:tailEnd type="triangle" w="med" len="me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2.xml><?xml version="1.0" encoding="utf-8"?>
<c:userShapes xmlns:c="http://schemas.openxmlformats.org/drawingml/2006/chart">
  <cdr:relSizeAnchor xmlns:cdr="http://schemas.openxmlformats.org/drawingml/2006/chartDrawing">
    <cdr:from>
      <cdr:x>0.017</cdr:x>
      <cdr:y>0.1025</cdr:y>
    </cdr:from>
    <cdr:to>
      <cdr:x>0.1375</cdr:x>
      <cdr:y>0.15775</cdr:y>
    </cdr:to>
    <cdr:sp macro="" textlink="">
      <cdr:nvSpPr>
        <cdr:cNvPr id="2" name="テキスト ボックス 1"/>
        <cdr:cNvSpPr txBox="1"/>
      </cdr:nvSpPr>
      <cdr:spPr>
        <a:xfrm xmlns:a="http://schemas.openxmlformats.org/drawingml/2006/main">
          <a:off x="55043" y="217196"/>
          <a:ext cx="390162" cy="117074"/>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23.xml><?xml version="1.0" encoding="utf-8"?>
<c:userShapes xmlns:c="http://schemas.openxmlformats.org/drawingml/2006/chart">
  <cdr:relSizeAnchor xmlns:cdr="http://schemas.openxmlformats.org/drawingml/2006/chartDrawing">
    <cdr:from>
      <cdr:x>0.00725</cdr:x>
      <cdr:y>0.09875</cdr:y>
    </cdr:from>
    <cdr:to>
      <cdr:x>0.1275</cdr:x>
      <cdr:y>0.154</cdr:y>
    </cdr:to>
    <cdr:sp macro="" textlink="">
      <cdr:nvSpPr>
        <cdr:cNvPr id="2" name="テキスト ボックス 1"/>
        <cdr:cNvSpPr txBox="1"/>
      </cdr:nvSpPr>
      <cdr:spPr>
        <a:xfrm xmlns:a="http://schemas.openxmlformats.org/drawingml/2006/main">
          <a:off x="23492" y="209250"/>
          <a:ext cx="389658" cy="117074"/>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24.xml><?xml version="1.0" encoding="utf-8"?>
<c:userShapes xmlns:c="http://schemas.openxmlformats.org/drawingml/2006/chart">
  <cdr:relSizeAnchor xmlns:cdr="http://schemas.openxmlformats.org/drawingml/2006/chartDrawing">
    <cdr:from>
      <cdr:x>0.0079</cdr:x>
      <cdr:y>0.04041</cdr:y>
    </cdr:from>
    <cdr:to>
      <cdr:x>0.05215</cdr:x>
      <cdr:y>0.11215</cdr:y>
    </cdr:to>
    <cdr:sp macro="" textlink="">
      <cdr:nvSpPr>
        <cdr:cNvPr id="2" name="テキスト ボックス 1"/>
        <cdr:cNvSpPr txBox="1"/>
      </cdr:nvSpPr>
      <cdr:spPr>
        <a:xfrm xmlns:a="http://schemas.openxmlformats.org/drawingml/2006/main">
          <a:off x="49488" y="105451"/>
          <a:ext cx="277166" cy="187256"/>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25.xml><?xml version="1.0" encoding="utf-8"?>
<c:userShapes xmlns:c="http://schemas.openxmlformats.org/drawingml/2006/chart">
  <cdr:relSizeAnchor xmlns:cdr="http://schemas.openxmlformats.org/drawingml/2006/chartDrawing">
    <cdr:from>
      <cdr:x>0.01596</cdr:x>
      <cdr:y>0.049</cdr:y>
    </cdr:from>
    <cdr:to>
      <cdr:x>0.06021</cdr:x>
      <cdr:y>0.12075</cdr:y>
    </cdr:to>
    <cdr:sp macro="" textlink="">
      <cdr:nvSpPr>
        <cdr:cNvPr id="2" name="テキスト ボックス 1"/>
        <cdr:cNvSpPr txBox="1"/>
      </cdr:nvSpPr>
      <cdr:spPr>
        <a:xfrm xmlns:a="http://schemas.openxmlformats.org/drawingml/2006/main">
          <a:off x="99976" y="127890"/>
          <a:ext cx="277166" cy="187256"/>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26.xml><?xml version="1.0" encoding="utf-8"?>
<c:userShapes xmlns:c="http://schemas.openxmlformats.org/drawingml/2006/chart">
  <cdr:relSizeAnchor xmlns:cdr="http://schemas.openxmlformats.org/drawingml/2006/chartDrawing">
    <cdr:from>
      <cdr:x>0</cdr:x>
      <cdr:y>0</cdr:y>
    </cdr:from>
    <cdr:to>
      <cdr:x>0.0955</cdr:x>
      <cdr:y>0.07525</cdr:y>
    </cdr:to>
    <cdr:sp macro="" textlink="">
      <cdr:nvSpPr>
        <cdr:cNvPr id="2" name="テキスト ボックス 1"/>
        <cdr:cNvSpPr txBox="1"/>
      </cdr:nvSpPr>
      <cdr:spPr>
        <a:xfrm xmlns:a="http://schemas.openxmlformats.org/drawingml/2006/main">
          <a:off x="0" y="0"/>
          <a:ext cx="508791" cy="184206"/>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700"/>
            <a:t>（％）</a:t>
          </a:r>
        </a:p>
      </cdr:txBody>
    </cdr:sp>
  </cdr:relSizeAnchor>
</c:userShapes>
</file>

<file path=word/drawings/drawing27.xml><?xml version="1.0" encoding="utf-8"?>
<c:userShapes xmlns:c="http://schemas.openxmlformats.org/drawingml/2006/chart">
  <cdr:relSizeAnchor xmlns:cdr="http://schemas.openxmlformats.org/drawingml/2006/chartDrawing">
    <cdr:from>
      <cdr:x>0.01468</cdr:x>
      <cdr:y>0.01501</cdr:y>
    </cdr:from>
    <cdr:to>
      <cdr:x>0.11018</cdr:x>
      <cdr:y>0.09026</cdr:y>
    </cdr:to>
    <cdr:sp macro="" textlink="">
      <cdr:nvSpPr>
        <cdr:cNvPr id="2" name="テキスト ボックス 1"/>
        <cdr:cNvSpPr txBox="1"/>
      </cdr:nvSpPr>
      <cdr:spPr>
        <a:xfrm xmlns:a="http://schemas.openxmlformats.org/drawingml/2006/main">
          <a:off x="74364" y="41694"/>
          <a:ext cx="483685" cy="209006"/>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700"/>
            <a:t>（％）</a:t>
          </a:r>
        </a:p>
      </cdr:txBody>
    </cdr:sp>
  </cdr:relSizeAnchor>
</c:userShapes>
</file>

<file path=word/drawings/drawing28.xml><?xml version="1.0" encoding="utf-8"?>
<c:userShapes xmlns:c="http://schemas.openxmlformats.org/drawingml/2006/chart">
  <cdr:relSizeAnchor xmlns:cdr="http://schemas.openxmlformats.org/drawingml/2006/chartDrawing">
    <cdr:from>
      <cdr:x>0.00775</cdr:x>
      <cdr:y>0.0257</cdr:y>
    </cdr:from>
    <cdr:to>
      <cdr:x>0.10325</cdr:x>
      <cdr:y>0.10095</cdr:y>
    </cdr:to>
    <cdr:sp macro="" textlink="">
      <cdr:nvSpPr>
        <cdr:cNvPr id="2" name="テキスト ボックス 1"/>
        <cdr:cNvSpPr txBox="1"/>
      </cdr:nvSpPr>
      <cdr:spPr>
        <a:xfrm xmlns:a="http://schemas.openxmlformats.org/drawingml/2006/main">
          <a:off x="45748" y="62907"/>
          <a:ext cx="563793" cy="184207"/>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800"/>
            <a:t>（％）</a:t>
          </a:r>
        </a:p>
      </cdr:txBody>
    </cdr:sp>
  </cdr:relSizeAnchor>
</c:userShapes>
</file>

<file path=word/drawings/drawing29.xml><?xml version="1.0" encoding="utf-8"?>
<c:userShapes xmlns:c="http://schemas.openxmlformats.org/drawingml/2006/chart">
  <cdr:relSizeAnchor xmlns:cdr="http://schemas.openxmlformats.org/drawingml/2006/chartDrawing">
    <cdr:from>
      <cdr:x>0.00902</cdr:x>
      <cdr:y>0.0581</cdr:y>
    </cdr:from>
    <cdr:to>
      <cdr:x>0.10452</cdr:x>
      <cdr:y>0.13335</cdr:y>
    </cdr:to>
    <cdr:sp macro="" textlink="">
      <cdr:nvSpPr>
        <cdr:cNvPr id="2" name="テキスト ボックス 1"/>
        <cdr:cNvSpPr txBox="1"/>
      </cdr:nvSpPr>
      <cdr:spPr>
        <a:xfrm xmlns:a="http://schemas.openxmlformats.org/drawingml/2006/main">
          <a:off x="49565" y="151181"/>
          <a:ext cx="524527" cy="195818"/>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800"/>
            <a:t>（％）</a:t>
          </a:r>
        </a:p>
      </cdr:txBody>
    </cdr:sp>
  </cdr:relSizeAnchor>
</c:userShapes>
</file>

<file path=word/drawings/drawing3.xml><?xml version="1.0" encoding="utf-8"?>
<c:userShapes xmlns:c="http://schemas.openxmlformats.org/drawingml/2006/chart">
  <cdr:relSizeAnchor xmlns:cdr="http://schemas.openxmlformats.org/drawingml/2006/chartDrawing">
    <cdr:from>
      <cdr:x>0.00725</cdr:x>
      <cdr:y>0.0635</cdr:y>
    </cdr:from>
    <cdr:to>
      <cdr:x>0.13075</cdr:x>
      <cdr:y>0.19375</cdr:y>
    </cdr:to>
    <cdr:sp macro="" textlink="">
      <cdr:nvSpPr>
        <cdr:cNvPr id="2" name="線吹き出し 2 (枠付き) 1"/>
        <cdr:cNvSpPr/>
      </cdr:nvSpPr>
      <cdr:spPr>
        <a:xfrm xmlns:a="http://schemas.openxmlformats.org/drawingml/2006/main">
          <a:off x="37129" y="116935"/>
          <a:ext cx="632477" cy="239855"/>
        </a:xfrm>
        <a:prstGeom xmlns:a="http://schemas.openxmlformats.org/drawingml/2006/main" prst="borderCallout2">
          <a:avLst>
            <a:gd name="adj1" fmla="val 38750"/>
            <a:gd name="adj2" fmla="val 102012"/>
            <a:gd name="adj3" fmla="val 38750"/>
            <a:gd name="adj4" fmla="val 124713"/>
            <a:gd name="adj5" fmla="val 176618"/>
            <a:gd name="adj6" fmla="val 133793"/>
          </a:avLst>
        </a:prstGeom>
        <a:noFill xmlns:a="http://schemas.openxmlformats.org/drawingml/2006/main"/>
        <a:ln xmlns:a="http://schemas.openxmlformats.org/drawingml/2006/main" w="6350">
          <a:solidFill>
            <a:sysClr val="windowText" lastClr="000000"/>
          </a:solidFill>
          <a:tailEnd type="triangle"/>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horzOverflow="overflow" lIns="0" tIns="0" rIns="0" bIns="0"/>
        <a:lstStyle xmlns:a="http://schemas.openxmlformats.org/drawingml/2006/main"/>
        <a:p xmlns:a="http://schemas.openxmlformats.org/drawingml/2006/main">
          <a:r>
            <a:rPr lang="ja-JP" altLang="en-US" sz="700">
              <a:solidFill>
                <a:sysClr val="windowText" lastClr="000000"/>
              </a:solidFill>
              <a:latin typeface="ＭＳ ゴシック"/>
              <a:ea typeface="ＭＳ ゴシック"/>
            </a:rPr>
            <a:t> 一緒に住んで</a:t>
          </a:r>
          <a:endParaRPr lang="en-US" altLang="ja-JP" sz="700">
            <a:solidFill>
              <a:sysClr val="windowText" lastClr="000000"/>
            </a:solidFill>
            <a:latin typeface="ＭＳ ゴシック"/>
            <a:ea typeface="ＭＳ ゴシック"/>
          </a:endParaRPr>
        </a:p>
        <a:p xmlns:a="http://schemas.openxmlformats.org/drawingml/2006/main">
          <a:r>
            <a:rPr lang="ja-JP" altLang="en-US" sz="700">
              <a:solidFill>
                <a:sysClr val="windowText" lastClr="000000"/>
              </a:solidFill>
              <a:latin typeface="ＭＳ ゴシック"/>
              <a:ea typeface="ＭＳ ゴシック"/>
            </a:rPr>
            <a:t> いる</a:t>
          </a:r>
          <a:r>
            <a:rPr lang="en-US" altLang="ja-JP" sz="700">
              <a:solidFill>
                <a:sysClr val="windowText" lastClr="000000"/>
              </a:solidFill>
              <a:latin typeface="ＭＳ ゴシック"/>
              <a:ea typeface="ＭＳ ゴシック"/>
            </a:rPr>
            <a:t>,2.8</a:t>
          </a:r>
          <a:endParaRPr lang="ja-JP" sz="700">
            <a:solidFill>
              <a:sysClr val="windowText" lastClr="000000"/>
            </a:solidFill>
            <a:latin typeface="ＭＳ ゴシック"/>
            <a:ea typeface="ＭＳ ゴシック"/>
          </a:endParaRPr>
        </a:p>
      </cdr:txBody>
    </cdr:sp>
  </cdr:relSizeAnchor>
  <cdr:relSizeAnchor xmlns:cdr="http://schemas.openxmlformats.org/drawingml/2006/chartDrawing">
    <cdr:from>
      <cdr:x>0.07825</cdr:x>
      <cdr:y>0.82075</cdr:y>
    </cdr:from>
    <cdr:to>
      <cdr:x>0.12325</cdr:x>
      <cdr:y>0.89025</cdr:y>
    </cdr:to>
    <cdr:sp macro="" textlink="">
      <cdr:nvSpPr>
        <cdr:cNvPr id="3" name="線吹き出し 2 (枠付き) 2"/>
        <cdr:cNvSpPr/>
      </cdr:nvSpPr>
      <cdr:spPr>
        <a:xfrm xmlns:a="http://schemas.openxmlformats.org/drawingml/2006/main">
          <a:off x="400739" y="1511411"/>
          <a:ext cx="230457" cy="127984"/>
        </a:xfrm>
        <a:prstGeom xmlns:a="http://schemas.openxmlformats.org/drawingml/2006/main" prst="borderCallout2">
          <a:avLst>
            <a:gd name="adj1" fmla="val 38750"/>
            <a:gd name="adj2" fmla="val 102012"/>
            <a:gd name="adj3" fmla="val 38750"/>
            <a:gd name="adj4" fmla="val 180267"/>
            <a:gd name="adj5" fmla="val -85115"/>
            <a:gd name="adj6" fmla="val 216683"/>
          </a:avLst>
        </a:prstGeom>
        <a:noFill xmlns:a="http://schemas.openxmlformats.org/drawingml/2006/main"/>
        <a:ln xmlns:a="http://schemas.openxmlformats.org/drawingml/2006/main" w="6350">
          <a:solidFill>
            <a:sysClr val="windowText" lastClr="000000"/>
          </a:solidFill>
          <a:tailEnd type="triangle"/>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800">
              <a:solidFill>
                <a:sysClr val="windowText" lastClr="000000"/>
              </a:solidFill>
            </a:rPr>
            <a:t>  </a:t>
          </a:r>
          <a:r>
            <a:rPr lang="en-US" altLang="ja-JP" sz="800">
              <a:solidFill>
                <a:sysClr val="windowText" lastClr="000000"/>
              </a:solidFill>
            </a:rPr>
            <a:t>2.7</a:t>
          </a:r>
          <a:endParaRPr lang="ja-JP" sz="800">
            <a:solidFill>
              <a:sysClr val="windowText" lastClr="000000"/>
            </a:solidFill>
          </a:endParaRPr>
        </a:p>
      </cdr:txBody>
    </cdr:sp>
  </cdr:relSizeAnchor>
  <cdr:relSizeAnchor xmlns:cdr="http://schemas.openxmlformats.org/drawingml/2006/chartDrawing">
    <cdr:from>
      <cdr:x>0.24</cdr:x>
      <cdr:y>0.141</cdr:y>
    </cdr:from>
    <cdr:to>
      <cdr:x>0.38675</cdr:x>
      <cdr:y>0.20675</cdr:y>
    </cdr:to>
    <cdr:sp macro="" textlink="">
      <cdr:nvSpPr>
        <cdr:cNvPr id="4" name="線吹き出し 2 (枠付き) 3"/>
        <cdr:cNvSpPr/>
      </cdr:nvSpPr>
      <cdr:spPr>
        <a:xfrm xmlns:a="http://schemas.openxmlformats.org/drawingml/2006/main">
          <a:off x="1229106" y="259651"/>
          <a:ext cx="751547" cy="121078"/>
        </a:xfrm>
        <a:prstGeom xmlns:a="http://schemas.openxmlformats.org/drawingml/2006/main" prst="borderCallout2">
          <a:avLst>
            <a:gd name="adj1" fmla="val 35809"/>
            <a:gd name="adj2" fmla="val -369"/>
            <a:gd name="adj3" fmla="val 32868"/>
            <a:gd name="adj4" fmla="val -14573"/>
            <a:gd name="adj5" fmla="val 211896"/>
            <a:gd name="adj6" fmla="val -25354"/>
          </a:avLst>
        </a:prstGeom>
        <a:solidFill xmlns:a="http://schemas.openxmlformats.org/drawingml/2006/main">
          <a:schemeClr val="bg1"/>
        </a:solidFill>
        <a:ln xmlns:a="http://schemas.openxmlformats.org/drawingml/2006/main" w="6350">
          <a:solidFill>
            <a:sysClr val="windowText" lastClr="000000"/>
          </a:solidFill>
          <a:tailEnd type="triangle"/>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700">
              <a:solidFill>
                <a:sysClr val="windowText" lastClr="000000"/>
              </a:solidFill>
            </a:rPr>
            <a:t>  徒歩</a:t>
          </a:r>
          <a:r>
            <a:rPr lang="en-US" altLang="ja-JP" sz="700">
              <a:solidFill>
                <a:sysClr val="windowText" lastClr="000000"/>
              </a:solidFill>
            </a:rPr>
            <a:t>5</a:t>
          </a:r>
          <a:r>
            <a:rPr lang="ja-JP" altLang="en-US" sz="700">
              <a:solidFill>
                <a:sysClr val="windowText" lastClr="000000"/>
              </a:solidFill>
            </a:rPr>
            <a:t>分程度</a:t>
          </a:r>
          <a:r>
            <a:rPr lang="en-US" altLang="ja-JP" sz="700">
              <a:solidFill>
                <a:sysClr val="windowText" lastClr="000000"/>
              </a:solidFill>
            </a:rPr>
            <a:t>,6.7</a:t>
          </a:r>
          <a:endParaRPr lang="ja-JP" sz="700">
            <a:solidFill>
              <a:sysClr val="windowText" lastClr="000000"/>
            </a:solidFill>
          </a:endParaRPr>
        </a:p>
      </cdr:txBody>
    </cdr:sp>
  </cdr:relSizeAnchor>
  <cdr:relSizeAnchor xmlns:cdr="http://schemas.openxmlformats.org/drawingml/2006/chartDrawing">
    <cdr:from>
      <cdr:x>0.42975</cdr:x>
      <cdr:y>0.1925</cdr:y>
    </cdr:from>
    <cdr:to>
      <cdr:x>0.59625</cdr:x>
      <cdr:y>0.25825</cdr:y>
    </cdr:to>
    <cdr:sp macro="" textlink="">
      <cdr:nvSpPr>
        <cdr:cNvPr id="5" name="線吹き出し 2 (枠付き) 4"/>
        <cdr:cNvSpPr/>
      </cdr:nvSpPr>
      <cdr:spPr>
        <a:xfrm xmlns:a="http://schemas.openxmlformats.org/drawingml/2006/main">
          <a:off x="2200867" y="354488"/>
          <a:ext cx="852692" cy="121078"/>
        </a:xfrm>
        <a:prstGeom xmlns:a="http://schemas.openxmlformats.org/drawingml/2006/main" prst="borderCallout2">
          <a:avLst>
            <a:gd name="adj1" fmla="val 35809"/>
            <a:gd name="adj2" fmla="val -369"/>
            <a:gd name="adj3" fmla="val 32868"/>
            <a:gd name="adj4" fmla="val -16664"/>
            <a:gd name="adj5" fmla="val 156030"/>
            <a:gd name="adj6" fmla="val -61520"/>
          </a:avLst>
        </a:prstGeom>
        <a:solidFill xmlns:a="http://schemas.openxmlformats.org/drawingml/2006/main">
          <a:schemeClr val="bg1"/>
        </a:solidFill>
        <a:ln xmlns:a="http://schemas.openxmlformats.org/drawingml/2006/main" w="6350">
          <a:solidFill>
            <a:sysClr val="windowText" lastClr="000000"/>
          </a:solidFill>
          <a:tailEnd type="triangle"/>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overflow" horzOverflow="overflow" lIns="0" tIns="0" rIns="0" bIns="0"/>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700">
              <a:solidFill>
                <a:sysClr val="windowText" lastClr="000000"/>
              </a:solidFill>
            </a:rPr>
            <a:t>  片道</a:t>
          </a:r>
          <a:r>
            <a:rPr lang="en-US" altLang="ja-JP" sz="700">
              <a:solidFill>
                <a:sysClr val="windowText" lastClr="000000"/>
              </a:solidFill>
            </a:rPr>
            <a:t>15</a:t>
          </a:r>
          <a:r>
            <a:rPr lang="ja-JP" altLang="en-US" sz="700">
              <a:solidFill>
                <a:sysClr val="windowText" lastClr="000000"/>
              </a:solidFill>
            </a:rPr>
            <a:t>分程度</a:t>
          </a:r>
          <a:r>
            <a:rPr lang="en-US" altLang="ja-JP" sz="700">
              <a:solidFill>
                <a:sysClr val="windowText" lastClr="000000"/>
              </a:solidFill>
            </a:rPr>
            <a:t>,14.4</a:t>
          </a:r>
          <a:endParaRPr lang="ja-JP" sz="700">
            <a:solidFill>
              <a:sysClr val="windowText" lastClr="000000"/>
            </a:solidFill>
          </a:endParaRPr>
        </a:p>
      </cdr:txBody>
    </cdr:sp>
  </cdr:relSizeAnchor>
  <cdr:relSizeAnchor xmlns:cdr="http://schemas.openxmlformats.org/drawingml/2006/chartDrawing">
    <cdr:from>
      <cdr:x>0.902</cdr:x>
      <cdr:y>0.23725</cdr:y>
    </cdr:from>
    <cdr:to>
      <cdr:x>0.91075</cdr:x>
      <cdr:y>0.4025</cdr:y>
    </cdr:to>
    <cdr:cxnSp macro="">
      <cdr:nvCxnSpPr>
        <cdr:cNvPr id="7" name="直線矢印コネクタ 6"/>
        <cdr:cNvCxnSpPr/>
      </cdr:nvCxnSpPr>
      <cdr:spPr>
        <a:xfrm xmlns:a="http://schemas.openxmlformats.org/drawingml/2006/main" flipH="1">
          <a:off x="4619390" y="436895"/>
          <a:ext cx="44811" cy="304307"/>
        </a:xfrm>
        <a:prstGeom xmlns:a="http://schemas.openxmlformats.org/drawingml/2006/main" prst="straightConnector1">
          <a:avLst/>
        </a:prstGeom>
        <a:ln xmlns:a="http://schemas.openxmlformats.org/drawingml/2006/main" w="3175">
          <a:headEnd type="none" w="med" len="med"/>
          <a:tailEnd type="triangle" w="med" len="me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0.0275</cdr:x>
      <cdr:y>0</cdr:y>
    </cdr:from>
    <cdr:to>
      <cdr:x>0.07175</cdr:x>
      <cdr:y>0.07175</cdr:y>
    </cdr:to>
    <cdr:sp macro="" textlink="">
      <cdr:nvSpPr>
        <cdr:cNvPr id="2" name="テキスト ボックス 1"/>
        <cdr:cNvSpPr txBox="1"/>
      </cdr:nvSpPr>
      <cdr:spPr>
        <a:xfrm xmlns:a="http://schemas.openxmlformats.org/drawingml/2006/main">
          <a:off x="160602" y="0"/>
          <a:ext cx="258424" cy="197599"/>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600"/>
            <a:t>（％）</a:t>
          </a:r>
        </a:p>
      </cdr:txBody>
    </cdr:sp>
  </cdr:relSizeAnchor>
</c:userShapes>
</file>

<file path=word/drawings/drawing5.xml><?xml version="1.0" encoding="utf-8"?>
<c:userShapes xmlns:c="http://schemas.openxmlformats.org/drawingml/2006/chart">
  <cdr:relSizeAnchor xmlns:cdr="http://schemas.openxmlformats.org/drawingml/2006/chartDrawing">
    <cdr:from>
      <cdr:x>0.0095</cdr:x>
      <cdr:y>0.1655</cdr:y>
    </cdr:from>
    <cdr:to>
      <cdr:x>0.1745</cdr:x>
      <cdr:y>0.23725</cdr:y>
    </cdr:to>
    <cdr:sp macro="" textlink="">
      <cdr:nvSpPr>
        <cdr:cNvPr id="2" name="テキスト ボックス 1"/>
        <cdr:cNvSpPr txBox="1"/>
      </cdr:nvSpPr>
      <cdr:spPr>
        <a:xfrm xmlns:a="http://schemas.openxmlformats.org/drawingml/2006/main">
          <a:off x="55480" y="389052"/>
          <a:ext cx="963615" cy="168667"/>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700">
              <a:latin typeface="+mj-ea"/>
              <a:ea typeface="+mj-ea"/>
            </a:rPr>
            <a:t>（千戸・千世帯）</a:t>
          </a: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0.08975</cdr:y>
    </cdr:from>
    <cdr:to>
      <cdr:x>0.139</cdr:x>
      <cdr:y>0.15025</cdr:y>
    </cdr:to>
    <cdr:sp macro="" textlink="">
      <cdr:nvSpPr>
        <cdr:cNvPr id="2" name="テキスト ボックス 1"/>
        <cdr:cNvSpPr txBox="1"/>
      </cdr:nvSpPr>
      <cdr:spPr>
        <a:xfrm xmlns:a="http://schemas.openxmlformats.org/drawingml/2006/main">
          <a:off x="0" y="229332"/>
          <a:ext cx="525794" cy="154592"/>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800">
              <a:latin typeface="+mj-ea"/>
              <a:ea typeface="+mj-ea"/>
            </a:rPr>
            <a:t>（千戸）</a:t>
          </a:r>
        </a:p>
      </cdr:txBody>
    </cdr:sp>
  </cdr:relSizeAnchor>
  <cdr:relSizeAnchor xmlns:cdr="http://schemas.openxmlformats.org/drawingml/2006/chartDrawing">
    <cdr:from>
      <cdr:x>0.88375</cdr:x>
      <cdr:y>0.08875</cdr:y>
    </cdr:from>
    <cdr:to>
      <cdr:x>0.976</cdr:x>
      <cdr:y>0.153</cdr:y>
    </cdr:to>
    <cdr:sp macro="" textlink="">
      <cdr:nvSpPr>
        <cdr:cNvPr id="3" name="テキスト ボックス 2"/>
        <cdr:cNvSpPr txBox="1"/>
      </cdr:nvSpPr>
      <cdr:spPr>
        <a:xfrm xmlns:a="http://schemas.openxmlformats.org/drawingml/2006/main">
          <a:off x="3342956" y="226777"/>
          <a:ext cx="348953" cy="164174"/>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800">
              <a:latin typeface="+mj-ea"/>
              <a:ea typeface="+mj-ea"/>
            </a:rPr>
            <a:t>（％）</a:t>
          </a:r>
        </a:p>
      </cdr:txBody>
    </cdr:sp>
  </cdr:relSizeAnchor>
</c:userShapes>
</file>

<file path=word/drawings/drawing7.xml><?xml version="1.0" encoding="utf-8"?>
<c:userShapes xmlns:c="http://schemas.openxmlformats.org/drawingml/2006/chart">
  <cdr:relSizeAnchor xmlns:cdr="http://schemas.openxmlformats.org/drawingml/2006/chartDrawing">
    <cdr:from>
      <cdr:x>0.0285</cdr:x>
      <cdr:y>0.05975</cdr:y>
    </cdr:from>
    <cdr:to>
      <cdr:x>0.07275</cdr:x>
      <cdr:y>0.1315</cdr:y>
    </cdr:to>
    <cdr:sp macro="" textlink="">
      <cdr:nvSpPr>
        <cdr:cNvPr id="2" name="テキスト ボックス 1"/>
        <cdr:cNvSpPr txBox="1"/>
      </cdr:nvSpPr>
      <cdr:spPr>
        <a:xfrm xmlns:a="http://schemas.openxmlformats.org/drawingml/2006/main">
          <a:off x="185046" y="158480"/>
          <a:ext cx="287309" cy="190309"/>
        </a:xfrm>
        <a:prstGeom xmlns:a="http://schemas.openxmlformats.org/drawingml/2006/main" prst="rect">
          <a:avLst/>
        </a:prstGeom>
      </cdr:spPr>
      <cdr:txBody>
        <a:bodyPr xmlns:a="http://schemas.openxmlformats.org/drawingml/2006/main" vertOverflow="overflow" horzOverflow="overflow" wrap="square" lIns="0" tIns="0" rIns="0" bIns="0" rtlCol="0" anchor="ctr"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700"/>
            <a:t>（％）</a:t>
          </a:r>
        </a:p>
      </cdr:txBody>
    </cdr:sp>
  </cdr:relSizeAnchor>
</c:userShapes>
</file>

<file path=word/drawings/drawing8.xml><?xml version="1.0" encoding="utf-8"?>
<c:userShapes xmlns:c="http://schemas.openxmlformats.org/drawingml/2006/chart">
  <cdr:relSizeAnchor xmlns:cdr="http://schemas.openxmlformats.org/drawingml/2006/chartDrawing">
    <cdr:from>
      <cdr:x>0.414</cdr:x>
      <cdr:y>0.51</cdr:y>
    </cdr:from>
    <cdr:to>
      <cdr:x>0.59225</cdr:x>
      <cdr:y>0.62</cdr:y>
    </cdr:to>
    <cdr:sp macro="" textlink="">
      <cdr:nvSpPr>
        <cdr:cNvPr id="2" name="テキスト ボックス 1"/>
        <cdr:cNvSpPr txBox="1"/>
      </cdr:nvSpPr>
      <cdr:spPr>
        <a:xfrm xmlns:a="http://schemas.openxmlformats.org/drawingml/2006/main">
          <a:off x="1196149" y="1443075"/>
          <a:ext cx="515008" cy="311251"/>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1000">
              <a:latin typeface="+mj-ea"/>
              <a:ea typeface="+mj-ea"/>
            </a:rPr>
            <a:t>秋田県</a:t>
          </a:r>
        </a:p>
      </cdr:txBody>
    </cdr:sp>
  </cdr:relSizeAnchor>
  <cdr:relSizeAnchor xmlns:cdr="http://schemas.openxmlformats.org/drawingml/2006/chartDrawing">
    <cdr:from>
      <cdr:x>0.55175</cdr:x>
      <cdr:y>0.184</cdr:y>
    </cdr:from>
    <cdr:to>
      <cdr:x>0.65</cdr:x>
      <cdr:y>0.2365</cdr:y>
    </cdr:to>
    <cdr:sp macro="" textlink="">
      <cdr:nvSpPr>
        <cdr:cNvPr id="3" name="線吹き出し 2 (枠付き) 2"/>
        <cdr:cNvSpPr/>
      </cdr:nvSpPr>
      <cdr:spPr>
        <a:xfrm xmlns:a="http://schemas.openxmlformats.org/drawingml/2006/main">
          <a:off x="1594143" y="520639"/>
          <a:ext cx="283868" cy="148551"/>
        </a:xfrm>
        <a:prstGeom xmlns:a="http://schemas.openxmlformats.org/drawingml/2006/main" prst="borderCallout2">
          <a:avLst>
            <a:gd name="adj1" fmla="val 18750"/>
            <a:gd name="adj2" fmla="val -8333"/>
            <a:gd name="adj3" fmla="val 18750"/>
            <a:gd name="adj4" fmla="val -16667"/>
            <a:gd name="adj5" fmla="val 128251"/>
            <a:gd name="adj6" fmla="val -74742"/>
          </a:avLst>
        </a:prstGeom>
        <a:solidFill xmlns:a="http://schemas.openxmlformats.org/drawingml/2006/main">
          <a:schemeClr val="bg1"/>
        </a:solidFill>
        <a:ln xmlns:a="http://schemas.openxmlformats.org/drawingml/2006/main" w="1270" cmpd="sng">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horzOverflow="overflow" lIns="0" tIns="0" rIns="0" bIns="0" anchor="ctr" anchorCtr="1"/>
        <a:lstStyle xmlns:a="http://schemas.openxmlformats.org/drawingml/2006/main"/>
        <a:p xmlns:a="http://schemas.openxmlformats.org/drawingml/2006/main">
          <a:r>
            <a:rPr lang="en-US" altLang="ja-JP" sz="800" b="1">
              <a:solidFill>
                <a:sysClr val="windowText" lastClr="000000"/>
              </a:solidFill>
              <a:latin typeface="+mj-ea"/>
              <a:ea typeface="+mj-ea"/>
            </a:rPr>
            <a:t>3.1</a:t>
          </a:r>
          <a:r>
            <a:rPr lang="ja-JP" altLang="en-US" sz="800" b="1">
              <a:solidFill>
                <a:sysClr val="windowText" lastClr="000000"/>
              </a:solidFill>
              <a:latin typeface="+mj-ea"/>
              <a:ea typeface="+mj-ea"/>
            </a:rPr>
            <a:t>％</a:t>
          </a:r>
          <a:endParaRPr lang="ja-JP" sz="800" b="1">
            <a:solidFill>
              <a:sysClr val="windowText" lastClr="000000"/>
            </a:solidFill>
            <a:latin typeface="+mj-ea"/>
            <a:ea typeface="+mj-ea"/>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0.414</cdr:x>
      <cdr:y>0.51</cdr:y>
    </cdr:from>
    <cdr:to>
      <cdr:x>0.59225</cdr:x>
      <cdr:y>0.62</cdr:y>
    </cdr:to>
    <cdr:sp macro="" textlink="">
      <cdr:nvSpPr>
        <cdr:cNvPr id="2" name="テキスト ボックス 1"/>
        <cdr:cNvSpPr txBox="1"/>
      </cdr:nvSpPr>
      <cdr:spPr>
        <a:xfrm xmlns:a="http://schemas.openxmlformats.org/drawingml/2006/main">
          <a:off x="1236897" y="1443075"/>
          <a:ext cx="532553" cy="311251"/>
        </a:xfrm>
        <a:prstGeom xmlns:a="http://schemas.openxmlformats.org/drawingml/2006/main" prst="rect">
          <a:avLst/>
        </a:prstGeom>
      </cdr:spPr>
      <cdr:txBody>
        <a:bodyPr xmlns:a="http://schemas.openxmlformats.org/drawingml/2006/main" vertOverflow="clip" horzOverflow="overflow" wrap="square" lIns="0" tIns="0" rIns="0" bIns="0" rtlCol="0" anchor="ctr" anchorCtr="1"/>
        <a:lstStyle xmlns:a="http://schemas.openxmlformats.org/drawingml/2006/main"/>
        <a:p xmlns:a="http://schemas.openxmlformats.org/drawingml/2006/main">
          <a:r>
            <a:rPr lang="ja-JP" altLang="en-US" sz="1000">
              <a:latin typeface="+mj-ea"/>
              <a:ea typeface="+mj-ea"/>
            </a:rPr>
            <a:t>全　国</a:t>
          </a:r>
        </a:p>
      </cdr:txBody>
    </cdr:sp>
  </cdr:relSizeAnchor>
  <cdr:relSizeAnchor xmlns:cdr="http://schemas.openxmlformats.org/drawingml/2006/chartDrawing">
    <cdr:from>
      <cdr:x>0.5545</cdr:x>
      <cdr:y>0.184</cdr:y>
    </cdr:from>
    <cdr:to>
      <cdr:x>0.65275</cdr:x>
      <cdr:y>0.2365</cdr:y>
    </cdr:to>
    <cdr:sp macro="" textlink="">
      <cdr:nvSpPr>
        <cdr:cNvPr id="3" name="線吹き出し 2 (枠付き) 2"/>
        <cdr:cNvSpPr/>
      </cdr:nvSpPr>
      <cdr:spPr>
        <a:xfrm xmlns:a="http://schemas.openxmlformats.org/drawingml/2006/main">
          <a:off x="1656665" y="520639"/>
          <a:ext cx="293539" cy="148551"/>
        </a:xfrm>
        <a:prstGeom xmlns:a="http://schemas.openxmlformats.org/drawingml/2006/main" prst="borderCallout2">
          <a:avLst>
            <a:gd name="adj1" fmla="val 18750"/>
            <a:gd name="adj2" fmla="val -8333"/>
            <a:gd name="adj3" fmla="val 18750"/>
            <a:gd name="adj4" fmla="val -16667"/>
            <a:gd name="adj5" fmla="val 128251"/>
            <a:gd name="adj6" fmla="val -74742"/>
          </a:avLst>
        </a:prstGeom>
        <a:solidFill xmlns:a="http://schemas.openxmlformats.org/drawingml/2006/main">
          <a:schemeClr val="bg1"/>
        </a:solidFill>
        <a:ln xmlns:a="http://schemas.openxmlformats.org/drawingml/2006/main" w="1270" cmpd="sng">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horzOverflow="overflow" lIns="0" tIns="0" rIns="0" bIns="0" anchor="ctr" anchorCtr="1"/>
        <a:lstStyle xmlns:a="http://schemas.openxmlformats.org/drawingml/2006/main"/>
        <a:p xmlns:a="http://schemas.openxmlformats.org/drawingml/2006/main">
          <a:r>
            <a:rPr lang="en-US" altLang="ja-JP" sz="800" b="1">
              <a:solidFill>
                <a:sysClr val="windowText" lastClr="000000"/>
              </a:solidFill>
              <a:latin typeface="+mj-ea"/>
              <a:ea typeface="+mj-ea"/>
            </a:rPr>
            <a:t>1.8</a:t>
          </a:r>
          <a:r>
            <a:rPr lang="ja-JP" altLang="en-US" sz="800" b="1">
              <a:solidFill>
                <a:sysClr val="windowText" lastClr="000000"/>
              </a:solidFill>
              <a:latin typeface="+mj-ea"/>
              <a:ea typeface="+mj-ea"/>
            </a:rPr>
            <a:t>％</a:t>
          </a:r>
          <a:endParaRPr lang="ja-JP" sz="800" b="1">
            <a:solidFill>
              <a:sysClr val="windowText" lastClr="000000"/>
            </a:solidFill>
            <a:latin typeface="+mj-ea"/>
            <a:ea typeface="+mj-ea"/>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840</TotalTime>
  <Pages>44</Pages>
  <Words>2117</Words>
  <Characters>12071</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柴田　敏幸</dc:creator>
  <cp:lastModifiedBy>佐藤　亘</cp:lastModifiedBy>
  <cp:revision>36</cp:revision>
  <cp:lastPrinted>2020-05-07T07:34:00Z</cp:lastPrinted>
  <dcterms:created xsi:type="dcterms:W3CDTF">2020-04-22T05:24:00Z</dcterms:created>
  <dcterms:modified xsi:type="dcterms:W3CDTF">2023-02-28T01:14:00Z</dcterms:modified>
</cp:coreProperties>
</file>