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DFC38" w14:textId="77777777" w:rsidR="001A363F" w:rsidRDefault="001C3015">
      <w:pPr>
        <w:spacing w:afterLines="150" w:after="507"/>
        <w:jc w:val="center"/>
      </w:pPr>
      <w:r>
        <w:rPr>
          <w:rFonts w:ascii="Times New Roman" w:eastAsia="ＭＳ 明朝" w:hAnsi="Times New Roman" w:hint="eastAsia"/>
          <w:b/>
          <w:color w:val="000000"/>
          <w:spacing w:val="4"/>
          <w:sz w:val="30"/>
        </w:rPr>
        <w:t>目　　　　　　次</w:t>
      </w:r>
    </w:p>
    <w:p w14:paraId="47B1D99E" w14:textId="77777777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１　施策の実施概況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- - - - - - - - - - - - - - - - - - - - -  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１</w:t>
      </w:r>
    </w:p>
    <w:p w14:paraId="0CF6641C" w14:textId="77777777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２　決算の概況　　　　　</w:t>
      </w:r>
      <w:r>
        <w:rPr>
          <w:rFonts w:ascii="Times New Roman" w:eastAsia="ＭＳ 明朝" w:hAnsi="Times New Roman"/>
          <w:b/>
          <w:color w:val="000000"/>
          <w:sz w:val="26"/>
        </w:rPr>
        <w:t>- - - - - - - - - - - - - - - - - - - - - - - - - - - - - - - - - - - - - - - - - - - - -</w:t>
      </w: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４</w:t>
      </w:r>
    </w:p>
    <w:p w14:paraId="636B3440" w14:textId="77777777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（１）　一般会計　　　　</w:t>
      </w:r>
      <w:r>
        <w:rPr>
          <w:rFonts w:ascii="Times New Roman" w:eastAsia="ＭＳ 明朝" w:hAnsi="Times New Roman"/>
          <w:b/>
          <w:color w:val="000000"/>
          <w:sz w:val="26"/>
        </w:rPr>
        <w:t>- - - - - - - - - - - - - - - - - - - - - - - - - - - - - - - - - - - - - - - - - - - - -</w:t>
      </w: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４</w:t>
      </w:r>
    </w:p>
    <w:p w14:paraId="22C0704A" w14:textId="77777777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（２）　特別会計　　　　</w:t>
      </w:r>
      <w:r>
        <w:rPr>
          <w:rFonts w:ascii="Times New Roman" w:eastAsia="ＭＳ 明朝" w:hAnsi="Times New Roman"/>
          <w:b/>
          <w:color w:val="000000"/>
          <w:sz w:val="26"/>
        </w:rPr>
        <w:t>- - - - - - - - - - - - - - - - - - - - - - - - - - - - - - - - - - - - - - - - - - - - -</w:t>
      </w: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５</w:t>
      </w:r>
    </w:p>
    <w:p w14:paraId="4BA09615" w14:textId="77777777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３　一般会計歳入歳出款別決算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- - - - - - - - - - - -  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６</w:t>
      </w:r>
    </w:p>
    <w:p w14:paraId="6AAA7D3E" w14:textId="77777777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（１）　歳　入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- - - - - - - - - - - - - - - - - - - - - - - -  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６</w:t>
      </w:r>
    </w:p>
    <w:p w14:paraId="299396A8" w14:textId="77777777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（２）　歳　出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- - - - - - - - - - - - - - - - - - - - - - - -  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７</w:t>
      </w:r>
    </w:p>
    <w:p w14:paraId="1E076A6C" w14:textId="77777777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（３）　歳入歳出決算額構成比及び対前年度比較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 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８</w:t>
      </w:r>
    </w:p>
    <w:p w14:paraId="1D8A7E57" w14:textId="77777777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４　特別会計歳入歳出会計別決算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- - - - - - - - - - -  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９</w:t>
      </w:r>
    </w:p>
    <w:p w14:paraId="651D7F8F" w14:textId="77777777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（１）　歳　入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- - - - - - - - - - - - - - - - - - - - - - - - -  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９</w:t>
      </w:r>
    </w:p>
    <w:p w14:paraId="37B37461" w14:textId="41E6ABE5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（２）　歳　出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- - - - - - - - - - - - - - - - - - - - - - - -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１０</w:t>
      </w:r>
    </w:p>
    <w:p w14:paraId="7A84887F" w14:textId="3533B250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５　不納欠損額内訳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- - - - - - - - - - - - - - - - - - - - -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１１</w:t>
      </w:r>
    </w:p>
    <w:p w14:paraId="4975797B" w14:textId="6144C73A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６　収入未済額内訳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- - - - - - - - - - - - - - - - - - - - -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１２</w:t>
      </w:r>
    </w:p>
    <w:p w14:paraId="3AC23B93" w14:textId="7F9D1F2C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７　翌年度繰越額、不用額の対前年度比較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- - - 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１３</w:t>
      </w:r>
    </w:p>
    <w:p w14:paraId="487452B7" w14:textId="28E059ED" w:rsidR="001A363F" w:rsidRDefault="001C3015">
      <w:pPr>
        <w:spacing w:afterLines="50" w:after="169"/>
      </w:pP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（１）　翌年度繰越額　　　</w:t>
      </w:r>
      <w:r>
        <w:rPr>
          <w:rFonts w:ascii="Times New Roman" w:eastAsia="ＭＳ 明朝" w:hAnsi="Times New Roman"/>
          <w:b/>
          <w:color w:val="000000"/>
          <w:sz w:val="26"/>
        </w:rPr>
        <w:t>- - - - - - - - - - - - - - - - - - - - - - - - - - - - - - - - - - - - - - - - - - -</w:t>
      </w:r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　１３</w:t>
      </w:r>
    </w:p>
    <w:p w14:paraId="319607EE" w14:textId="77777777" w:rsidR="001A363F" w:rsidRDefault="001C3015">
      <w:r>
        <w:rPr>
          <w:rFonts w:ascii="Times New Roman" w:eastAsia="ＭＳ 明朝" w:hAnsi="Times New Roman" w:hint="eastAsia"/>
          <w:b/>
          <w:color w:val="000000"/>
          <w:sz w:val="26"/>
        </w:rPr>
        <w:t xml:space="preserve">（２）　不用額　　　</w:t>
      </w:r>
      <w:r>
        <w:rPr>
          <w:rFonts w:ascii="Times New Roman" w:eastAsia="ＭＳ 明朝" w:hAnsi="Times New Roman"/>
          <w:b/>
          <w:color w:val="000000"/>
          <w:sz w:val="26"/>
        </w:rPr>
        <w:t xml:space="preserve">- - - - - - - - - - - - - - - - - - - - - - - - - - - - - - - - - - - - - - - - - - - - - - - -  </w:t>
      </w:r>
      <w:r>
        <w:rPr>
          <w:rFonts w:ascii="Times New Roman" w:eastAsia="ＭＳ 明朝" w:hAnsi="Times New Roman" w:hint="eastAsia"/>
          <w:b/>
          <w:color w:val="000000"/>
          <w:sz w:val="26"/>
        </w:rPr>
        <w:t>１５</w:t>
      </w:r>
    </w:p>
    <w:sectPr w:rsidR="001A363F">
      <w:pgSz w:w="16838" w:h="11906" w:orient="landscape"/>
      <w:pgMar w:top="1474" w:right="3118" w:bottom="1304" w:left="3118" w:header="851" w:footer="992" w:gutter="0"/>
      <w:cols w:space="720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40366" w14:textId="77777777" w:rsidR="00B20435" w:rsidRDefault="001C3015">
      <w:r>
        <w:separator/>
      </w:r>
    </w:p>
  </w:endnote>
  <w:endnote w:type="continuationSeparator" w:id="0">
    <w:p w14:paraId="2E72EA7D" w14:textId="77777777" w:rsidR="00B20435" w:rsidRDefault="001C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AF9F2" w14:textId="77777777" w:rsidR="00B20435" w:rsidRDefault="001C3015">
      <w:r>
        <w:separator/>
      </w:r>
    </w:p>
  </w:footnote>
  <w:footnote w:type="continuationSeparator" w:id="0">
    <w:p w14:paraId="650E867D" w14:textId="77777777" w:rsidR="00B20435" w:rsidRDefault="001C3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bordersDoNotSurroundHeader/>
  <w:bordersDoNotSurroundFooter/>
  <w:proofState w:spelling="clean" w:grammar="clean"/>
  <w:defaultTabStop w:val="840"/>
  <w:hyphenationZone w:val="0"/>
  <w:drawingGridHorizontalSpacing w:val="21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63F"/>
    <w:rsid w:val="001A363F"/>
    <w:rsid w:val="001C3015"/>
    <w:rsid w:val="002338F8"/>
    <w:rsid w:val="00B2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D17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8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38F8"/>
  </w:style>
  <w:style w:type="paragraph" w:styleId="a5">
    <w:name w:val="footer"/>
    <w:basedOn w:val="a"/>
    <w:link w:val="a6"/>
    <w:uiPriority w:val="99"/>
    <w:unhideWhenUsed/>
    <w:rsid w:val="00233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3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2022-11-17T01:20:00Z</dcterms:created>
  <dcterms:modified xsi:type="dcterms:W3CDTF">2022-11-17T01:20:00Z</dcterms:modified>
</cp:coreProperties>
</file>