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56B2" w14:textId="4F84FD0F" w:rsidR="00D30E86" w:rsidRDefault="001A3FAC">
      <w:pPr>
        <w:spacing w:after="0" w:line="259" w:lineRule="auto"/>
        <w:ind w:left="10" w:right="192" w:hanging="10"/>
        <w:jc w:val="center"/>
      </w:pPr>
      <w:r>
        <w:rPr>
          <w:sz w:val="28"/>
        </w:rPr>
        <w:t>経営指標の概要</w:t>
      </w:r>
      <w:r>
        <w:rPr>
          <w:rFonts w:ascii="Century" w:eastAsia="Century" w:hAnsi="Century" w:cs="Century"/>
          <w:sz w:val="28"/>
        </w:rPr>
        <w:t xml:space="preserve"> </w:t>
      </w:r>
    </w:p>
    <w:p w14:paraId="013C9C92" w14:textId="10674EA2" w:rsidR="00D30E86" w:rsidRDefault="001A3FAC">
      <w:pPr>
        <w:spacing w:after="0" w:line="259" w:lineRule="auto"/>
        <w:ind w:left="10" w:right="113" w:hanging="10"/>
        <w:jc w:val="center"/>
      </w:pPr>
      <w:r>
        <w:rPr>
          <w:sz w:val="28"/>
        </w:rPr>
        <w:t>（工業用水道事業）</w:t>
      </w:r>
      <w:r>
        <w:rPr>
          <w:rFonts w:ascii="Century" w:eastAsia="Century" w:hAnsi="Century" w:cs="Century"/>
          <w:sz w:val="28"/>
        </w:rPr>
        <w:t xml:space="preserve"> </w:t>
      </w:r>
    </w:p>
    <w:p w14:paraId="0D4F3F78" w14:textId="0E92FA25" w:rsidR="00D30E86" w:rsidRDefault="001A3FAC">
      <w:pPr>
        <w:spacing w:after="76" w:line="259" w:lineRule="auto"/>
        <w:ind w:firstLine="0"/>
      </w:pPr>
      <w:r>
        <w:rPr>
          <w:rFonts w:ascii="ＭＳ ゴシック" w:eastAsia="ＭＳ ゴシック" w:hAnsi="ＭＳ ゴシック" w:cs="ＭＳ ゴシック"/>
          <w:sz w:val="21"/>
        </w:rPr>
        <w:t xml:space="preserve"> </w:t>
      </w:r>
    </w:p>
    <w:p w14:paraId="34429B70" w14:textId="77777777" w:rsidR="00D30E86" w:rsidRDefault="001A3FAC">
      <w:pPr>
        <w:pStyle w:val="1"/>
        <w:ind w:left="345" w:hanging="360"/>
      </w:pPr>
      <w:r>
        <w:t xml:space="preserve">経営の健全性・効率性 </w:t>
      </w:r>
    </w:p>
    <w:tbl>
      <w:tblPr>
        <w:tblStyle w:val="TableGrid"/>
        <w:tblW w:w="9037" w:type="dxa"/>
        <w:tblInd w:w="300" w:type="dxa"/>
        <w:tblCellMar>
          <w:top w:w="34" w:type="dxa"/>
          <w:left w:w="107" w:type="dxa"/>
          <w:right w:w="115" w:type="dxa"/>
        </w:tblCellMar>
        <w:tblLook w:val="04A0" w:firstRow="1" w:lastRow="0" w:firstColumn="1" w:lastColumn="0" w:noHBand="0" w:noVBand="1"/>
      </w:tblPr>
      <w:tblGrid>
        <w:gridCol w:w="2546"/>
        <w:gridCol w:w="6491"/>
      </w:tblGrid>
      <w:tr w:rsidR="00D30E86" w14:paraId="55E9CD8D" w14:textId="77777777">
        <w:trPr>
          <w:trHeight w:val="281"/>
        </w:trPr>
        <w:tc>
          <w:tcPr>
            <w:tcW w:w="2546" w:type="dxa"/>
            <w:tcBorders>
              <w:top w:val="single" w:sz="4" w:space="0" w:color="000000"/>
              <w:left w:val="single" w:sz="4" w:space="0" w:color="000000"/>
              <w:bottom w:val="single" w:sz="4" w:space="0" w:color="000000"/>
              <w:right w:val="single" w:sz="4" w:space="0" w:color="000000"/>
            </w:tcBorders>
            <w:shd w:val="clear" w:color="auto" w:fill="FDE9D9"/>
          </w:tcPr>
          <w:p w14:paraId="7A51E98B" w14:textId="77777777" w:rsidR="00D30E86" w:rsidRDefault="001A3FAC">
            <w:pPr>
              <w:spacing w:after="0" w:line="259" w:lineRule="auto"/>
              <w:ind w:firstLine="0"/>
            </w:pPr>
            <w:r>
              <w:rPr>
                <w:rFonts w:ascii="ＭＳ ゴシック" w:eastAsia="ＭＳ ゴシック" w:hAnsi="ＭＳ ゴシック" w:cs="ＭＳ ゴシック"/>
                <w:sz w:val="21"/>
              </w:rPr>
              <w:t xml:space="preserve"> </w:t>
            </w:r>
          </w:p>
        </w:tc>
        <w:tc>
          <w:tcPr>
            <w:tcW w:w="6491" w:type="dxa"/>
            <w:tcBorders>
              <w:top w:val="single" w:sz="4" w:space="0" w:color="000000"/>
              <w:left w:val="single" w:sz="4" w:space="0" w:color="000000"/>
              <w:bottom w:val="single" w:sz="4" w:space="0" w:color="000000"/>
              <w:right w:val="single" w:sz="4" w:space="0" w:color="000000"/>
            </w:tcBorders>
            <w:shd w:val="clear" w:color="auto" w:fill="FDE9D9"/>
          </w:tcPr>
          <w:p w14:paraId="3379777D" w14:textId="3264A4A1" w:rsidR="00D30E86" w:rsidRDefault="001A3FAC">
            <w:pPr>
              <w:spacing w:after="0" w:line="259" w:lineRule="auto"/>
              <w:ind w:left="8" w:firstLine="0"/>
              <w:jc w:val="center"/>
            </w:pPr>
            <w:r>
              <w:rPr>
                <w:rFonts w:ascii="ＭＳ ゴシック" w:eastAsia="ＭＳ ゴシック" w:hAnsi="ＭＳ ゴシック" w:cs="ＭＳ ゴシック"/>
                <w:sz w:val="21"/>
              </w:rPr>
              <w:t xml:space="preserve">算出式 </w:t>
            </w:r>
          </w:p>
        </w:tc>
      </w:tr>
      <w:tr w:rsidR="00D30E86" w14:paraId="1062C9AB" w14:textId="77777777">
        <w:trPr>
          <w:trHeight w:val="563"/>
        </w:trPr>
        <w:tc>
          <w:tcPr>
            <w:tcW w:w="2546"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057F7D95" w14:textId="77777777" w:rsidR="00D30E86" w:rsidRDefault="001A3FAC">
            <w:pPr>
              <w:spacing w:after="0" w:line="259" w:lineRule="auto"/>
              <w:ind w:left="115" w:firstLine="0"/>
            </w:pPr>
            <w:r>
              <w:rPr>
                <w:rFonts w:ascii="ＭＳ ゴシック" w:eastAsia="ＭＳ ゴシック" w:hAnsi="ＭＳ ゴシック" w:cs="ＭＳ ゴシック"/>
                <w:sz w:val="21"/>
              </w:rPr>
              <w:t xml:space="preserve">①経常収支比率（％） </w:t>
            </w:r>
          </w:p>
        </w:tc>
        <w:tc>
          <w:tcPr>
            <w:tcW w:w="6491" w:type="dxa"/>
            <w:tcBorders>
              <w:top w:val="single" w:sz="4" w:space="0" w:color="000000"/>
              <w:left w:val="single" w:sz="4" w:space="0" w:color="000000"/>
              <w:bottom w:val="single" w:sz="4" w:space="0" w:color="000000"/>
              <w:right w:val="single" w:sz="4" w:space="0" w:color="000000"/>
            </w:tcBorders>
          </w:tcPr>
          <w:p w14:paraId="07016B10" w14:textId="3BECF879" w:rsidR="00D30E86" w:rsidRDefault="00B20641">
            <w:pPr>
              <w:spacing w:after="0" w:line="259" w:lineRule="auto"/>
              <w:ind w:right="497" w:firstLine="0"/>
              <w:jc w:val="center"/>
            </w:pPr>
            <w:r>
              <w:rPr>
                <w:noProof/>
                <w:sz w:val="28"/>
              </w:rPr>
              <mc:AlternateContent>
                <mc:Choice Requires="wps">
                  <w:drawing>
                    <wp:anchor distT="0" distB="0" distL="114300" distR="114300" simplePos="0" relativeHeight="251659264" behindDoc="0" locked="0" layoutInCell="1" allowOverlap="1" wp14:anchorId="37F15EC9" wp14:editId="3927D3D1">
                      <wp:simplePos x="0" y="0"/>
                      <wp:positionH relativeFrom="column">
                        <wp:posOffset>2116455</wp:posOffset>
                      </wp:positionH>
                      <wp:positionV relativeFrom="paragraph">
                        <wp:posOffset>156210</wp:posOffset>
                      </wp:positionV>
                      <wp:extent cx="5905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0550" cy="285750"/>
                              </a:xfrm>
                              <a:prstGeom prst="rect">
                                <a:avLst/>
                              </a:prstGeom>
                              <a:noFill/>
                              <a:ln w="6350">
                                <a:noFill/>
                              </a:ln>
                            </wps:spPr>
                            <wps:txbx>
                              <w:txbxContent>
                                <w:p w14:paraId="43C7EC25" w14:textId="20FAF59B" w:rsidR="00B20641" w:rsidRPr="00B20641" w:rsidRDefault="00B20641">
                                  <w:pPr>
                                    <w:rPr>
                                      <w:sz w:val="18"/>
                                      <w:szCs w:val="18"/>
                                    </w:rPr>
                                  </w:pPr>
                                  <w:r w:rsidRPr="00B20641">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F15EC9" id="_x0000_t202" coordsize="21600,21600" o:spt="202" path="m,l,21600r21600,l21600,xe">
                      <v:stroke joinstyle="miter"/>
                      <v:path gradientshapeok="t" o:connecttype="rect"/>
                    </v:shapetype>
                    <v:shape id="テキスト ボックス 1" o:spid="_x0000_s1026" type="#_x0000_t202" style="position:absolute;left:0;text-align:left;margin-left:166.65pt;margin-top:12.3pt;width:46.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" filled="f" stroked="f" strokeweight=".5pt">
                      <v:textbox>
                        <w:txbxContent>
                          <w:p w14:paraId="43C7EC25" w14:textId="20FAF59B" w:rsidR="00B20641" w:rsidRPr="00B20641" w:rsidRDefault="00B20641">
                            <w:pPr>
                              <w:rPr>
                                <w:sz w:val="18"/>
                                <w:szCs w:val="18"/>
                              </w:rPr>
                            </w:pPr>
                            <w:r w:rsidRPr="00B20641">
                              <w:rPr>
                                <w:rFonts w:hint="eastAsia"/>
                                <w:sz w:val="18"/>
                                <w:szCs w:val="18"/>
                              </w:rPr>
                              <w:t>×</w:t>
                            </w:r>
                          </w:p>
                        </w:txbxContent>
                      </v:textbox>
                    </v:shape>
                  </w:pict>
                </mc:Fallback>
              </mc:AlternateContent>
            </w:r>
            <w:r w:rsidR="001A3FAC">
              <w:rPr>
                <w:sz w:val="18"/>
              </w:rPr>
              <w:t>経常収益</w:t>
            </w:r>
          </w:p>
          <w:p w14:paraId="5C75058D" w14:textId="73318793" w:rsidR="00D30E86" w:rsidRDefault="001A3FAC">
            <w:pPr>
              <w:spacing w:after="0" w:line="259" w:lineRule="auto"/>
              <w:ind w:left="2526" w:right="1690" w:firstLine="0"/>
            </w:pPr>
            <w:r>
              <w:rPr>
                <w:rFonts w:ascii="Calibri" w:eastAsia="Calibri" w:hAnsi="Calibri" w:cs="Calibri"/>
                <w:noProof/>
              </w:rPr>
              <mc:AlternateContent>
                <mc:Choice Requires="wpg">
                  <w:drawing>
                    <wp:inline distT="0" distB="0" distL="0" distR="0" wp14:anchorId="37E0FA76" wp14:editId="4CF547D3">
                      <wp:extent cx="457200" cy="7620"/>
                      <wp:effectExtent l="0" t="0" r="0" b="0"/>
                      <wp:docPr id="6390" name="Group 6390"/>
                      <wp:cNvGraphicFramePr/>
                      <a:graphic xmlns:a="http://schemas.openxmlformats.org/drawingml/2006/main">
                        <a:graphicData uri="http://schemas.microsoft.com/office/word/2010/wordprocessingGroup">
                          <wpg:wgp>
                            <wpg:cNvGrpSpPr/>
                            <wpg:grpSpPr>
                              <a:xfrm>
                                <a:off x="0" y="0"/>
                                <a:ext cx="457200" cy="7620"/>
                                <a:chOff x="0" y="0"/>
                                <a:chExt cx="457200" cy="7620"/>
                              </a:xfrm>
                            </wpg:grpSpPr>
                            <wps:wsp>
                              <wps:cNvPr id="7449" name="Shape 7449"/>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90" style="width:36pt;height:0.599976pt;mso-position-horizontal-relative:char;mso-position-vertical-relative:line" coordsize="4572,76">
                      <v:shape id="Shape 7450" style="position:absolute;width:4572;height:91;left:0;top:0;" coordsize="457200,9144" path="m0,0l457200,0l457200,9144l0,9144l0,0">
                        <v:stroke weight="0pt" endcap="flat" joinstyle="miter" miterlimit="1" on="false" color="#000000" opacity="0"/>
                        <v:fill on="true" color="#000000"/>
                      </v:shape>
                    </v:group>
                  </w:pict>
                </mc:Fallback>
              </mc:AlternateContent>
            </w:r>
            <w:r w:rsidR="00B20641">
              <w:rPr>
                <w:rFonts w:hint="eastAsia"/>
                <w:sz w:val="18"/>
              </w:rPr>
              <w:t xml:space="preserve">　　　　　</w:t>
            </w:r>
            <w:r>
              <w:rPr>
                <w:rFonts w:ascii="Cambria" w:eastAsia="Cambria" w:hAnsi="Cambria" w:cs="Cambria"/>
                <w:sz w:val="18"/>
              </w:rPr>
              <w:t>100</w:t>
            </w:r>
            <w:r>
              <w:rPr>
                <w:sz w:val="21"/>
              </w:rPr>
              <w:t xml:space="preserve"> </w:t>
            </w:r>
            <w:r>
              <w:rPr>
                <w:sz w:val="18"/>
              </w:rPr>
              <w:t>経常費用</w:t>
            </w:r>
          </w:p>
        </w:tc>
      </w:tr>
    </w:tbl>
    <w:p w14:paraId="38DF57A0" w14:textId="77777777" w:rsidR="00D30E86" w:rsidRDefault="001A3FAC">
      <w:pPr>
        <w:spacing w:after="51" w:line="259" w:lineRule="auto"/>
        <w:ind w:left="-15" w:firstLine="0"/>
      </w:pPr>
      <w:r>
        <w:t xml:space="preserve">【指標の意味】 </w:t>
      </w:r>
    </w:p>
    <w:p w14:paraId="6B3158EF" w14:textId="77777777" w:rsidR="00D30E86" w:rsidRDefault="001A3FAC">
      <w:pPr>
        <w:ind w:left="-15"/>
      </w:pPr>
      <w:r>
        <w:t xml:space="preserve">経常収支比率は、当該年度において、給水収益や一般会計からの繰入金等の収益で、維持管理費や支払利息等の費用をどの程度賄えているかを表す指標である。 </w:t>
      </w:r>
    </w:p>
    <w:p w14:paraId="5F2DB16C" w14:textId="77777777" w:rsidR="00D30E86" w:rsidRDefault="001A3FAC">
      <w:pPr>
        <w:spacing w:after="51" w:line="259" w:lineRule="auto"/>
        <w:ind w:left="-15" w:firstLine="0"/>
      </w:pPr>
      <w:r>
        <w:t xml:space="preserve">【分析の考え方】 </w:t>
      </w:r>
    </w:p>
    <w:p w14:paraId="76FC6BF3" w14:textId="77777777" w:rsidR="00D30E86" w:rsidRDefault="001A3FAC">
      <w:pPr>
        <w:ind w:left="-15"/>
      </w:pPr>
      <w:r>
        <w:t xml:space="preserve">当該指標は、単年度の収支が黒字であることを示す100％以上となっていることが必要である。数値が100％未満の場合、単年度の収支が赤字であることを示しているため、経営改善に向けた取組が必要である。 </w:t>
      </w:r>
    </w:p>
    <w:p w14:paraId="4CC642D0" w14:textId="397C0454" w:rsidR="00D30E86" w:rsidRDefault="001A3FAC">
      <w:pPr>
        <w:ind w:left="-15"/>
      </w:pPr>
      <w:r>
        <w:t xml:space="preserve">分析に当たっての留意点として、例えば、当該指標が100％以上の場合であっても、更なる費用削減や更新投資等に充てる財源が確保されているか等、今後も健全経営を続けていくための改善点を洗い出すといった観点から分析する必要があると考えられる。 </w:t>
      </w:r>
    </w:p>
    <w:p w14:paraId="6CFDF103" w14:textId="3720C5E6" w:rsidR="00D30E86" w:rsidRDefault="001A3FAC">
      <w:pPr>
        <w:ind w:left="-15"/>
      </w:pPr>
      <w:r>
        <w:t xml:space="preserve">また、経常収益（総収益）について、給水収益以外の収入に依存している場合は、料金回収率と併せて分析し、経営改善を図っていく必要がある。 </w:t>
      </w:r>
    </w:p>
    <w:p w14:paraId="6513FCEB" w14:textId="5E3E51C3" w:rsidR="00D30E86" w:rsidRDefault="001A3FAC">
      <w:pPr>
        <w:ind w:left="-15"/>
      </w:pPr>
      <w:r>
        <w:t xml:space="preserve">一方、当該指標が 100％未満の場合であっても、経年で比較した場合に、右肩上がりで 100％に近づいていれば、経営改善に向けた取組が成果を上げている可能性があるといえ、今後も改善傾向を続けていく観点から分析する必要があると考えられる。 </w:t>
      </w:r>
    </w:p>
    <w:p w14:paraId="4ADAB4E3" w14:textId="6EEFDAF6" w:rsidR="00D30E86" w:rsidRDefault="001A3FAC">
      <w:pPr>
        <w:spacing w:after="0" w:line="259" w:lineRule="auto"/>
        <w:ind w:firstLine="0"/>
      </w:pPr>
      <w:r>
        <w:rPr>
          <w:rFonts w:ascii="Century" w:eastAsia="Century" w:hAnsi="Century" w:cs="Century"/>
          <w:sz w:val="21"/>
        </w:rPr>
        <w:t xml:space="preserve"> </w:t>
      </w:r>
    </w:p>
    <w:tbl>
      <w:tblPr>
        <w:tblStyle w:val="TableGrid"/>
        <w:tblW w:w="9037" w:type="dxa"/>
        <w:tblInd w:w="300" w:type="dxa"/>
        <w:tblCellMar>
          <w:top w:w="35" w:type="dxa"/>
          <w:left w:w="107" w:type="dxa"/>
          <w:right w:w="14" w:type="dxa"/>
        </w:tblCellMar>
        <w:tblLook w:val="04A0" w:firstRow="1" w:lastRow="0" w:firstColumn="1" w:lastColumn="0" w:noHBand="0" w:noVBand="1"/>
      </w:tblPr>
      <w:tblGrid>
        <w:gridCol w:w="2546"/>
        <w:gridCol w:w="6491"/>
      </w:tblGrid>
      <w:tr w:rsidR="00D30E86" w14:paraId="44F97DBB" w14:textId="77777777">
        <w:trPr>
          <w:trHeight w:val="281"/>
        </w:trPr>
        <w:tc>
          <w:tcPr>
            <w:tcW w:w="2546" w:type="dxa"/>
            <w:tcBorders>
              <w:top w:val="single" w:sz="4" w:space="0" w:color="000000"/>
              <w:left w:val="single" w:sz="4" w:space="0" w:color="000000"/>
              <w:bottom w:val="single" w:sz="4" w:space="0" w:color="000000"/>
              <w:right w:val="single" w:sz="4" w:space="0" w:color="000000"/>
            </w:tcBorders>
            <w:shd w:val="clear" w:color="auto" w:fill="FDE9D9"/>
          </w:tcPr>
          <w:p w14:paraId="435A496C" w14:textId="77777777" w:rsidR="00D30E86" w:rsidRDefault="001A3FAC">
            <w:pPr>
              <w:spacing w:after="0" w:line="259" w:lineRule="auto"/>
              <w:ind w:firstLine="0"/>
            </w:pPr>
            <w:r>
              <w:rPr>
                <w:rFonts w:ascii="ＭＳ ゴシック" w:eastAsia="ＭＳ ゴシック" w:hAnsi="ＭＳ ゴシック" w:cs="ＭＳ ゴシック"/>
                <w:sz w:val="21"/>
              </w:rPr>
              <w:t xml:space="preserve"> </w:t>
            </w:r>
          </w:p>
        </w:tc>
        <w:tc>
          <w:tcPr>
            <w:tcW w:w="6491" w:type="dxa"/>
            <w:tcBorders>
              <w:top w:val="single" w:sz="4" w:space="0" w:color="000000"/>
              <w:left w:val="single" w:sz="4" w:space="0" w:color="000000"/>
              <w:bottom w:val="single" w:sz="4" w:space="0" w:color="000000"/>
              <w:right w:val="single" w:sz="4" w:space="0" w:color="000000"/>
            </w:tcBorders>
            <w:shd w:val="clear" w:color="auto" w:fill="FDE9D9"/>
          </w:tcPr>
          <w:p w14:paraId="79BF8FB8" w14:textId="091819F5" w:rsidR="00D30E86" w:rsidRDefault="001A3FAC">
            <w:pPr>
              <w:spacing w:after="0" w:line="259" w:lineRule="auto"/>
              <w:ind w:right="93" w:firstLine="0"/>
              <w:jc w:val="center"/>
            </w:pPr>
            <w:r>
              <w:rPr>
                <w:rFonts w:ascii="ＭＳ ゴシック" w:eastAsia="ＭＳ ゴシック" w:hAnsi="ＭＳ ゴシック" w:cs="ＭＳ ゴシック"/>
                <w:sz w:val="21"/>
              </w:rPr>
              <w:t xml:space="preserve">算出式 </w:t>
            </w:r>
          </w:p>
        </w:tc>
      </w:tr>
      <w:tr w:rsidR="00D30E86" w14:paraId="5CBC3089" w14:textId="77777777">
        <w:trPr>
          <w:trHeight w:val="563"/>
        </w:trPr>
        <w:tc>
          <w:tcPr>
            <w:tcW w:w="2546"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32593A63" w14:textId="77777777" w:rsidR="00D30E86" w:rsidRDefault="001A3FAC">
            <w:pPr>
              <w:spacing w:after="0" w:line="259" w:lineRule="auto"/>
              <w:ind w:left="11" w:firstLine="0"/>
              <w:jc w:val="both"/>
            </w:pPr>
            <w:r>
              <w:rPr>
                <w:rFonts w:ascii="ＭＳ ゴシック" w:eastAsia="ＭＳ ゴシック" w:hAnsi="ＭＳ ゴシック" w:cs="ＭＳ ゴシック"/>
                <w:sz w:val="21"/>
              </w:rPr>
              <w:t xml:space="preserve">②累積欠損金比率（％） </w:t>
            </w:r>
          </w:p>
        </w:tc>
        <w:tc>
          <w:tcPr>
            <w:tcW w:w="6491" w:type="dxa"/>
            <w:tcBorders>
              <w:top w:val="single" w:sz="4" w:space="0" w:color="000000"/>
              <w:left w:val="single" w:sz="4" w:space="0" w:color="000000"/>
              <w:bottom w:val="single" w:sz="4" w:space="0" w:color="000000"/>
              <w:right w:val="single" w:sz="4" w:space="0" w:color="000000"/>
            </w:tcBorders>
          </w:tcPr>
          <w:p w14:paraId="2421BE6F" w14:textId="65BED657" w:rsidR="00D30E86" w:rsidRDefault="00B20641">
            <w:pPr>
              <w:spacing w:after="0" w:line="259" w:lineRule="auto"/>
              <w:ind w:right="601" w:firstLine="0"/>
              <w:jc w:val="center"/>
            </w:pPr>
            <w:r>
              <w:rPr>
                <w:noProof/>
                <w:sz w:val="28"/>
              </w:rPr>
              <mc:AlternateContent>
                <mc:Choice Requires="wps">
                  <w:drawing>
                    <wp:anchor distT="0" distB="0" distL="114300" distR="114300" simplePos="0" relativeHeight="251661312" behindDoc="0" locked="0" layoutInCell="1" allowOverlap="1" wp14:anchorId="09EA50B8" wp14:editId="5D9526FA">
                      <wp:simplePos x="0" y="0"/>
                      <wp:positionH relativeFrom="column">
                        <wp:posOffset>2436495</wp:posOffset>
                      </wp:positionH>
                      <wp:positionV relativeFrom="paragraph">
                        <wp:posOffset>153670</wp:posOffset>
                      </wp:positionV>
                      <wp:extent cx="590550"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90550" cy="285750"/>
                              </a:xfrm>
                              <a:prstGeom prst="rect">
                                <a:avLst/>
                              </a:prstGeom>
                              <a:noFill/>
                              <a:ln w="6350">
                                <a:noFill/>
                              </a:ln>
                            </wps:spPr>
                            <wps:txbx>
                              <w:txbxContent>
                                <w:p w14:paraId="3457193A" w14:textId="77777777" w:rsidR="00B20641" w:rsidRPr="00B20641" w:rsidRDefault="00B20641" w:rsidP="00B20641">
                                  <w:pPr>
                                    <w:rPr>
                                      <w:sz w:val="18"/>
                                      <w:szCs w:val="18"/>
                                    </w:rPr>
                                  </w:pPr>
                                  <w:r w:rsidRPr="00B20641">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EA50B8" id="テキスト ボックス 2" o:spid="_x0000_s1027" type="#_x0000_t202" style="position:absolute;left:0;text-align:left;margin-left:191.85pt;margin-top:12.1pt;width:46.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" filled="f" stroked="f" strokeweight=".5pt">
                      <v:textbox>
                        <w:txbxContent>
                          <w:p w14:paraId="3457193A" w14:textId="77777777" w:rsidR="00B20641" w:rsidRPr="00B20641" w:rsidRDefault="00B20641" w:rsidP="00B20641">
                            <w:pPr>
                              <w:rPr>
                                <w:sz w:val="18"/>
                                <w:szCs w:val="18"/>
                              </w:rPr>
                            </w:pPr>
                            <w:r w:rsidRPr="00B20641">
                              <w:rPr>
                                <w:rFonts w:hint="eastAsia"/>
                                <w:sz w:val="18"/>
                                <w:szCs w:val="18"/>
                              </w:rPr>
                              <w:t>×</w:t>
                            </w:r>
                          </w:p>
                        </w:txbxContent>
                      </v:textbox>
                    </v:shape>
                  </w:pict>
                </mc:Fallback>
              </mc:AlternateContent>
            </w:r>
            <w:r w:rsidR="001A3FAC">
              <w:rPr>
                <w:sz w:val="18"/>
              </w:rPr>
              <w:t>当年度未処理欠損金</w:t>
            </w:r>
          </w:p>
          <w:p w14:paraId="3D937354" w14:textId="37FCBC27" w:rsidR="00D30E86" w:rsidRDefault="001A3FAC">
            <w:pPr>
              <w:spacing w:after="0" w:line="259" w:lineRule="auto"/>
              <w:ind w:left="1878" w:firstLine="0"/>
            </w:pPr>
            <w:r>
              <w:rPr>
                <w:rFonts w:ascii="Calibri" w:eastAsia="Calibri" w:hAnsi="Calibri" w:cs="Calibri"/>
                <w:noProof/>
              </w:rPr>
              <mc:AlternateContent>
                <mc:Choice Requires="wpg">
                  <w:drawing>
                    <wp:inline distT="0" distB="0" distL="0" distR="0" wp14:anchorId="78D14403" wp14:editId="0F2B298B">
                      <wp:extent cx="1279398" cy="7620"/>
                      <wp:effectExtent l="0" t="0" r="0" b="0"/>
                      <wp:docPr id="6189" name="Group 6189"/>
                      <wp:cNvGraphicFramePr/>
                      <a:graphic xmlns:a="http://schemas.openxmlformats.org/drawingml/2006/main">
                        <a:graphicData uri="http://schemas.microsoft.com/office/word/2010/wordprocessingGroup">
                          <wpg:wgp>
                            <wpg:cNvGrpSpPr/>
                            <wpg:grpSpPr>
                              <a:xfrm>
                                <a:off x="0" y="0"/>
                                <a:ext cx="1279398" cy="7620"/>
                                <a:chOff x="0" y="0"/>
                                <a:chExt cx="1279398" cy="7620"/>
                              </a:xfrm>
                            </wpg:grpSpPr>
                            <wps:wsp>
                              <wps:cNvPr id="7451" name="Shape 7451"/>
                              <wps:cNvSpPr/>
                              <wps:spPr>
                                <a:xfrm>
                                  <a:off x="0" y="0"/>
                                  <a:ext cx="1279398" cy="9144"/>
                                </a:xfrm>
                                <a:custGeom>
                                  <a:avLst/>
                                  <a:gdLst/>
                                  <a:ahLst/>
                                  <a:cxnLst/>
                                  <a:rect l="0" t="0" r="0" b="0"/>
                                  <a:pathLst>
                                    <a:path w="1279398" h="9144">
                                      <a:moveTo>
                                        <a:pt x="0" y="0"/>
                                      </a:moveTo>
                                      <a:lnTo>
                                        <a:pt x="1279398" y="0"/>
                                      </a:lnTo>
                                      <a:lnTo>
                                        <a:pt x="1279398"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89" style="width:100.74pt;height:0.600006pt;mso-position-horizontal-relative:char;mso-position-vertical-relative:line" coordsize="12793,76">
                      <v:shape id="Shape 7452" style="position:absolute;width:12793;height:91;left:0;top:0;" coordsize="1279398,9144" path="m0,0l1279398,0l1279398,9144l0,9144l0,0">
                        <v:stroke weight="0pt" endcap="flat" joinstyle="miter" miterlimit="1" on="false" color="#000000" opacity="0"/>
                        <v:fill on="true" color="#000000"/>
                      </v:shape>
                    </v:group>
                  </w:pict>
                </mc:Fallback>
              </mc:AlternateContent>
            </w:r>
            <w:r w:rsidR="00B20641">
              <w:rPr>
                <w:rFonts w:hint="eastAsia"/>
                <w:sz w:val="18"/>
              </w:rPr>
              <w:t xml:space="preserve">　　　　</w:t>
            </w:r>
            <w:r>
              <w:rPr>
                <w:rFonts w:ascii="Cambria" w:eastAsia="Cambria" w:hAnsi="Cambria" w:cs="Cambria"/>
                <w:sz w:val="18"/>
              </w:rPr>
              <w:t>100</w:t>
            </w:r>
            <w:r w:rsidR="00B20641">
              <w:rPr>
                <w:rFonts w:hint="eastAsia"/>
                <w:sz w:val="18"/>
              </w:rPr>
              <w:t xml:space="preserve">　　　　　　　</w:t>
            </w:r>
            <w:r>
              <w:rPr>
                <w:sz w:val="21"/>
              </w:rPr>
              <w:t xml:space="preserve"> </w:t>
            </w:r>
            <w:r>
              <w:rPr>
                <w:sz w:val="18"/>
              </w:rPr>
              <w:t>営業収益</w:t>
            </w:r>
            <w:r w:rsidR="00B20641">
              <w:rPr>
                <w:rFonts w:hint="eastAsia"/>
                <w:sz w:val="18"/>
              </w:rPr>
              <w:t>－</w:t>
            </w:r>
            <w:r>
              <w:rPr>
                <w:sz w:val="18"/>
              </w:rPr>
              <w:t>受託工事収益</w:t>
            </w:r>
          </w:p>
        </w:tc>
      </w:tr>
    </w:tbl>
    <w:p w14:paraId="3A9EDB80" w14:textId="77777777" w:rsidR="00D30E86" w:rsidRDefault="001A3FAC">
      <w:pPr>
        <w:spacing w:after="67" w:line="259" w:lineRule="auto"/>
        <w:ind w:left="-15" w:firstLine="0"/>
      </w:pPr>
      <w:r>
        <w:t>【指標の意味】</w:t>
      </w:r>
      <w:r>
        <w:rPr>
          <w:rFonts w:ascii="Century" w:eastAsia="Century" w:hAnsi="Century" w:cs="Century"/>
        </w:rPr>
        <w:t xml:space="preserve"> </w:t>
      </w:r>
    </w:p>
    <w:p w14:paraId="7B578E45" w14:textId="77777777" w:rsidR="00D30E86" w:rsidRDefault="001A3FAC">
      <w:pPr>
        <w:ind w:left="-15"/>
      </w:pPr>
      <w:r>
        <w:t>営業収益に対する累積欠損金（営業活動により生じた損失で、前年度からの繰越利益剰余金等でも補塡することができず、複数年度にわたって累積した損失のこと）の状況を表す指標である。</w:t>
      </w:r>
      <w:r>
        <w:rPr>
          <w:rFonts w:ascii="Century" w:eastAsia="Century" w:hAnsi="Century" w:cs="Century"/>
        </w:rPr>
        <w:t xml:space="preserve"> </w:t>
      </w:r>
    </w:p>
    <w:p w14:paraId="68F9E5EC" w14:textId="77777777" w:rsidR="00D30E86" w:rsidRDefault="001A3FAC">
      <w:pPr>
        <w:spacing w:after="68" w:line="259" w:lineRule="auto"/>
        <w:ind w:left="-15" w:firstLine="0"/>
      </w:pPr>
      <w:r>
        <w:t>【分析の考え方】</w:t>
      </w:r>
      <w:r>
        <w:rPr>
          <w:rFonts w:ascii="Century" w:eastAsia="Century" w:hAnsi="Century" w:cs="Century"/>
        </w:rPr>
        <w:t xml:space="preserve"> </w:t>
      </w:r>
    </w:p>
    <w:p w14:paraId="55F68E7C" w14:textId="77777777" w:rsidR="00D30E86" w:rsidRDefault="001A3FAC">
      <w:pPr>
        <w:ind w:left="-15"/>
      </w:pPr>
      <w:r>
        <w:t xml:space="preserve">当該指標は、累積欠損金が発生していないことを示す </w:t>
      </w:r>
      <w:r>
        <w:rPr>
          <w:rFonts w:ascii="Century" w:eastAsia="Century" w:hAnsi="Century" w:cs="Century"/>
        </w:rPr>
        <w:t>0</w:t>
      </w:r>
      <w:r>
        <w:t xml:space="preserve">％であることが求められる。累積欠損金を有している場合は、経営の健全性に課題があるといえる。経年の状況も踏まえながら </w:t>
      </w:r>
      <w:r>
        <w:rPr>
          <w:rFonts w:ascii="Century" w:eastAsia="Century" w:hAnsi="Century" w:cs="Century"/>
        </w:rPr>
        <w:t>0</w:t>
      </w:r>
      <w:r>
        <w:t>％となるよう経営改善を図っていく必要がある。</w:t>
      </w:r>
      <w:r>
        <w:rPr>
          <w:rFonts w:ascii="Century" w:eastAsia="Century" w:hAnsi="Century" w:cs="Century"/>
        </w:rPr>
        <w:t xml:space="preserve"> </w:t>
      </w:r>
    </w:p>
    <w:p w14:paraId="6EC51FA2" w14:textId="77777777" w:rsidR="00D30E86" w:rsidRDefault="001A3FAC">
      <w:pPr>
        <w:ind w:left="-15" w:firstLine="0"/>
      </w:pPr>
      <w:r>
        <w:rPr>
          <w:color w:val="FF0000"/>
        </w:rPr>
        <w:t xml:space="preserve"> </w:t>
      </w:r>
      <w:r>
        <w:t xml:space="preserve">分析に当たっての留意点として、例えば、当該指標が </w:t>
      </w:r>
      <w:r>
        <w:rPr>
          <w:rFonts w:ascii="Century" w:eastAsia="Century" w:hAnsi="Century" w:cs="Century"/>
        </w:rPr>
        <w:t>0</w:t>
      </w:r>
      <w:r>
        <w:t>％の場合であっても、給水収益が減少傾向にある場合や維持管理費が増加傾向にある場合には、将来の見込みも踏まえた分析が必要であると考えられる。</w:t>
      </w:r>
      <w:r>
        <w:rPr>
          <w:rFonts w:ascii="Century" w:eastAsia="Century" w:hAnsi="Century" w:cs="Century"/>
          <w:color w:val="FF0000"/>
        </w:rPr>
        <w:t xml:space="preserve"> </w:t>
      </w:r>
    </w:p>
    <w:p w14:paraId="571D3185" w14:textId="77777777" w:rsidR="004B40E5" w:rsidRDefault="004B40E5">
      <w:pPr>
        <w:spacing w:after="0" w:line="259" w:lineRule="auto"/>
        <w:ind w:firstLine="0"/>
        <w:rPr>
          <w:rFonts w:ascii="Century" w:eastAsia="Century" w:hAnsi="Century" w:cs="Century"/>
          <w:sz w:val="21"/>
        </w:rPr>
      </w:pPr>
    </w:p>
    <w:p w14:paraId="55A7327F" w14:textId="77777777" w:rsidR="004B40E5" w:rsidRDefault="004B40E5">
      <w:pPr>
        <w:spacing w:after="0" w:line="259" w:lineRule="auto"/>
        <w:ind w:firstLine="0"/>
        <w:rPr>
          <w:rFonts w:ascii="Century" w:eastAsia="Century" w:hAnsi="Century" w:cs="Century"/>
          <w:sz w:val="21"/>
        </w:rPr>
      </w:pPr>
    </w:p>
    <w:p w14:paraId="1B5B7BF8" w14:textId="16019469" w:rsidR="00D30E86" w:rsidRDefault="001A3FAC">
      <w:pPr>
        <w:spacing w:after="0" w:line="259" w:lineRule="auto"/>
        <w:ind w:firstLine="0"/>
      </w:pPr>
      <w:r>
        <w:rPr>
          <w:rFonts w:ascii="Century" w:eastAsia="Century" w:hAnsi="Century" w:cs="Century"/>
          <w:sz w:val="21"/>
        </w:rPr>
        <w:t xml:space="preserve"> </w:t>
      </w:r>
    </w:p>
    <w:tbl>
      <w:tblPr>
        <w:tblStyle w:val="TableGrid"/>
        <w:tblW w:w="9037" w:type="dxa"/>
        <w:tblInd w:w="300" w:type="dxa"/>
        <w:tblCellMar>
          <w:top w:w="34" w:type="dxa"/>
          <w:left w:w="107" w:type="dxa"/>
          <w:right w:w="115" w:type="dxa"/>
        </w:tblCellMar>
        <w:tblLook w:val="04A0" w:firstRow="1" w:lastRow="0" w:firstColumn="1" w:lastColumn="0" w:noHBand="0" w:noVBand="1"/>
      </w:tblPr>
      <w:tblGrid>
        <w:gridCol w:w="2546"/>
        <w:gridCol w:w="6491"/>
      </w:tblGrid>
      <w:tr w:rsidR="00D30E86" w14:paraId="569761A5" w14:textId="77777777">
        <w:trPr>
          <w:trHeight w:val="281"/>
        </w:trPr>
        <w:tc>
          <w:tcPr>
            <w:tcW w:w="2546" w:type="dxa"/>
            <w:tcBorders>
              <w:top w:val="single" w:sz="4" w:space="0" w:color="000000"/>
              <w:left w:val="single" w:sz="4" w:space="0" w:color="000000"/>
              <w:bottom w:val="single" w:sz="4" w:space="0" w:color="000000"/>
              <w:right w:val="single" w:sz="4" w:space="0" w:color="000000"/>
            </w:tcBorders>
            <w:shd w:val="clear" w:color="auto" w:fill="FDE9D9"/>
          </w:tcPr>
          <w:p w14:paraId="1FAFA526" w14:textId="77777777" w:rsidR="00D30E86" w:rsidRDefault="001A3FAC">
            <w:pPr>
              <w:spacing w:after="0" w:line="259" w:lineRule="auto"/>
              <w:ind w:firstLine="0"/>
            </w:pPr>
            <w:r>
              <w:rPr>
                <w:rFonts w:ascii="ＭＳ ゴシック" w:eastAsia="ＭＳ ゴシック" w:hAnsi="ＭＳ ゴシック" w:cs="ＭＳ ゴシック"/>
                <w:sz w:val="21"/>
              </w:rPr>
              <w:lastRenderedPageBreak/>
              <w:t xml:space="preserve"> </w:t>
            </w:r>
          </w:p>
        </w:tc>
        <w:tc>
          <w:tcPr>
            <w:tcW w:w="6491" w:type="dxa"/>
            <w:tcBorders>
              <w:top w:val="single" w:sz="4" w:space="0" w:color="000000"/>
              <w:left w:val="single" w:sz="4" w:space="0" w:color="000000"/>
              <w:bottom w:val="single" w:sz="4" w:space="0" w:color="000000"/>
              <w:right w:val="single" w:sz="4" w:space="0" w:color="000000"/>
            </w:tcBorders>
            <w:shd w:val="clear" w:color="auto" w:fill="FDE9D9"/>
          </w:tcPr>
          <w:p w14:paraId="305F644B" w14:textId="77777777" w:rsidR="00D30E86" w:rsidRDefault="001A3FAC">
            <w:pPr>
              <w:spacing w:after="0" w:line="259" w:lineRule="auto"/>
              <w:ind w:left="8" w:firstLine="0"/>
              <w:jc w:val="center"/>
            </w:pPr>
            <w:r>
              <w:rPr>
                <w:rFonts w:ascii="ＭＳ ゴシック" w:eastAsia="ＭＳ ゴシック" w:hAnsi="ＭＳ ゴシック" w:cs="ＭＳ ゴシック"/>
                <w:sz w:val="21"/>
              </w:rPr>
              <w:t xml:space="preserve">算出式 </w:t>
            </w:r>
          </w:p>
        </w:tc>
      </w:tr>
      <w:tr w:rsidR="00D30E86" w14:paraId="789E952A" w14:textId="77777777">
        <w:trPr>
          <w:trHeight w:val="564"/>
        </w:trPr>
        <w:tc>
          <w:tcPr>
            <w:tcW w:w="2546"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0889CCF6" w14:textId="77777777" w:rsidR="00D30E86" w:rsidRDefault="001A3FAC">
            <w:pPr>
              <w:spacing w:after="0" w:line="259" w:lineRule="auto"/>
              <w:ind w:left="6" w:firstLine="0"/>
              <w:jc w:val="center"/>
            </w:pPr>
            <w:r>
              <w:rPr>
                <w:rFonts w:ascii="ＭＳ ゴシック" w:eastAsia="ＭＳ ゴシック" w:hAnsi="ＭＳ ゴシック" w:cs="ＭＳ ゴシック"/>
                <w:sz w:val="21"/>
              </w:rPr>
              <w:t xml:space="preserve">③流動比率（％） </w:t>
            </w:r>
          </w:p>
        </w:tc>
        <w:tc>
          <w:tcPr>
            <w:tcW w:w="6491" w:type="dxa"/>
            <w:tcBorders>
              <w:top w:val="single" w:sz="4" w:space="0" w:color="000000"/>
              <w:left w:val="single" w:sz="4" w:space="0" w:color="000000"/>
              <w:bottom w:val="single" w:sz="4" w:space="0" w:color="000000"/>
              <w:right w:val="single" w:sz="4" w:space="0" w:color="000000"/>
            </w:tcBorders>
          </w:tcPr>
          <w:p w14:paraId="2988C0ED" w14:textId="79A8012C" w:rsidR="00D30E86" w:rsidRDefault="00B20641">
            <w:pPr>
              <w:spacing w:after="0" w:line="259" w:lineRule="auto"/>
              <w:ind w:right="497" w:firstLine="0"/>
              <w:jc w:val="center"/>
            </w:pPr>
            <w:r>
              <w:rPr>
                <w:noProof/>
                <w:sz w:val="28"/>
              </w:rPr>
              <mc:AlternateContent>
                <mc:Choice Requires="wps">
                  <w:drawing>
                    <wp:anchor distT="0" distB="0" distL="114300" distR="114300" simplePos="0" relativeHeight="251663360" behindDoc="0" locked="0" layoutInCell="1" allowOverlap="1" wp14:anchorId="5FA06CC1" wp14:editId="5FFF2627">
                      <wp:simplePos x="0" y="0"/>
                      <wp:positionH relativeFrom="column">
                        <wp:posOffset>1979295</wp:posOffset>
                      </wp:positionH>
                      <wp:positionV relativeFrom="paragraph">
                        <wp:posOffset>156845</wp:posOffset>
                      </wp:positionV>
                      <wp:extent cx="59055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90550" cy="285750"/>
                              </a:xfrm>
                              <a:prstGeom prst="rect">
                                <a:avLst/>
                              </a:prstGeom>
                              <a:noFill/>
                              <a:ln w="6350">
                                <a:noFill/>
                              </a:ln>
                            </wps:spPr>
                            <wps:txbx>
                              <w:txbxContent>
                                <w:p w14:paraId="43F2BF73" w14:textId="77777777" w:rsidR="00B20641" w:rsidRPr="00B20641" w:rsidRDefault="00B20641" w:rsidP="00B20641">
                                  <w:pPr>
                                    <w:rPr>
                                      <w:sz w:val="18"/>
                                      <w:szCs w:val="18"/>
                                    </w:rPr>
                                  </w:pPr>
                                  <w:r w:rsidRPr="00B20641">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A06CC1" id="テキスト ボックス 3" o:spid="_x0000_s1028" type="#_x0000_t202" style="position:absolute;left:0;text-align:left;margin-left:155.85pt;margin-top:12.35pt;width:46.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" filled="f" stroked="f" strokeweight=".5pt">
                      <v:textbox>
                        <w:txbxContent>
                          <w:p w14:paraId="43F2BF73" w14:textId="77777777" w:rsidR="00B20641" w:rsidRPr="00B20641" w:rsidRDefault="00B20641" w:rsidP="00B20641">
                            <w:pPr>
                              <w:rPr>
                                <w:sz w:val="18"/>
                                <w:szCs w:val="18"/>
                              </w:rPr>
                            </w:pPr>
                            <w:r w:rsidRPr="00B20641">
                              <w:rPr>
                                <w:rFonts w:hint="eastAsia"/>
                                <w:sz w:val="18"/>
                                <w:szCs w:val="18"/>
                              </w:rPr>
                              <w:t>×</w:t>
                            </w:r>
                          </w:p>
                        </w:txbxContent>
                      </v:textbox>
                    </v:shape>
                  </w:pict>
                </mc:Fallback>
              </mc:AlternateContent>
            </w:r>
            <w:r w:rsidR="001A3FAC">
              <w:rPr>
                <w:sz w:val="18"/>
              </w:rPr>
              <w:t>流動資産</w:t>
            </w:r>
          </w:p>
          <w:p w14:paraId="7E5E097A" w14:textId="2670EE69" w:rsidR="00D30E86" w:rsidRDefault="001A3FAC">
            <w:pPr>
              <w:spacing w:after="0" w:line="259" w:lineRule="auto"/>
              <w:ind w:left="2526" w:right="1690" w:firstLine="0"/>
            </w:pPr>
            <w:r>
              <w:rPr>
                <w:rFonts w:ascii="Calibri" w:eastAsia="Calibri" w:hAnsi="Calibri" w:cs="Calibri"/>
                <w:noProof/>
              </w:rPr>
              <mc:AlternateContent>
                <mc:Choice Requires="wpg">
                  <w:drawing>
                    <wp:inline distT="0" distB="0" distL="0" distR="0" wp14:anchorId="05E5761E" wp14:editId="4EF10E5A">
                      <wp:extent cx="457200" cy="7620"/>
                      <wp:effectExtent l="0" t="0" r="0" b="0"/>
                      <wp:docPr id="6625" name="Group 6625"/>
                      <wp:cNvGraphicFramePr/>
                      <a:graphic xmlns:a="http://schemas.openxmlformats.org/drawingml/2006/main">
                        <a:graphicData uri="http://schemas.microsoft.com/office/word/2010/wordprocessingGroup">
                          <wpg:wgp>
                            <wpg:cNvGrpSpPr/>
                            <wpg:grpSpPr>
                              <a:xfrm>
                                <a:off x="0" y="0"/>
                                <a:ext cx="457200" cy="7620"/>
                                <a:chOff x="0" y="0"/>
                                <a:chExt cx="457200" cy="7620"/>
                              </a:xfrm>
                            </wpg:grpSpPr>
                            <wps:wsp>
                              <wps:cNvPr id="7453" name="Shape 7453"/>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25" style="width:36pt;height:0.599976pt;mso-position-horizontal-relative:char;mso-position-vertical-relative:line" coordsize="4572,76">
                      <v:shape id="Shape 7454" style="position:absolute;width:4572;height:91;left:0;top:0;" coordsize="457200,9144" path="m0,0l457200,0l457200,9144l0,9144l0,0">
                        <v:stroke weight="0pt" endcap="flat" joinstyle="miter" miterlimit="1" on="false" color="#000000" opacity="0"/>
                        <v:fill on="true" color="#000000"/>
                      </v:shape>
                    </v:group>
                  </w:pict>
                </mc:Fallback>
              </mc:AlternateContent>
            </w:r>
            <w:r w:rsidR="00B20641">
              <w:rPr>
                <w:rFonts w:hint="eastAsia"/>
                <w:sz w:val="18"/>
              </w:rPr>
              <w:t xml:space="preserve">　　　</w:t>
            </w:r>
            <w:r>
              <w:rPr>
                <w:rFonts w:ascii="Cambria" w:eastAsia="Cambria" w:hAnsi="Cambria" w:cs="Cambria"/>
                <w:sz w:val="18"/>
              </w:rPr>
              <w:t>100</w:t>
            </w:r>
            <w:r w:rsidR="00B20641">
              <w:rPr>
                <w:rFonts w:hint="eastAsia"/>
                <w:sz w:val="18"/>
              </w:rPr>
              <w:t xml:space="preserve">　　</w:t>
            </w:r>
            <w:r>
              <w:rPr>
                <w:sz w:val="21"/>
              </w:rPr>
              <w:t xml:space="preserve"> </w:t>
            </w:r>
            <w:r>
              <w:rPr>
                <w:sz w:val="18"/>
              </w:rPr>
              <w:t>流動負債</w:t>
            </w:r>
          </w:p>
        </w:tc>
      </w:tr>
    </w:tbl>
    <w:p w14:paraId="76CD523B" w14:textId="4FB0D030" w:rsidR="00D30E86" w:rsidRDefault="001A3FAC">
      <w:pPr>
        <w:spacing w:after="68" w:line="259" w:lineRule="auto"/>
        <w:ind w:left="-15" w:firstLine="0"/>
      </w:pPr>
      <w:r>
        <w:t>【指標の意味】</w:t>
      </w:r>
      <w:r>
        <w:rPr>
          <w:rFonts w:ascii="Century" w:eastAsia="Century" w:hAnsi="Century" w:cs="Century"/>
        </w:rPr>
        <w:t xml:space="preserve"> </w:t>
      </w:r>
    </w:p>
    <w:p w14:paraId="3DD8A9E1" w14:textId="0449F3C5" w:rsidR="00D30E86" w:rsidRDefault="001A3FAC">
      <w:pPr>
        <w:spacing w:line="259" w:lineRule="auto"/>
        <w:ind w:left="220" w:firstLine="0"/>
      </w:pPr>
      <w:r>
        <w:t>短期的な債務に対する支払能力を表す指標である。</w:t>
      </w:r>
      <w:r>
        <w:rPr>
          <w:rFonts w:ascii="Century" w:eastAsia="Century" w:hAnsi="Century" w:cs="Century"/>
        </w:rPr>
        <w:t xml:space="preserve"> </w:t>
      </w:r>
    </w:p>
    <w:p w14:paraId="3BF9EDBD" w14:textId="0C0D69FF" w:rsidR="00D30E86" w:rsidRDefault="001A3FAC">
      <w:pPr>
        <w:tabs>
          <w:tab w:val="center" w:pos="7356"/>
        </w:tabs>
        <w:spacing w:after="73" w:line="259" w:lineRule="auto"/>
        <w:ind w:left="-15" w:firstLine="0"/>
      </w:pPr>
      <w:r>
        <w:t>【分析の考え方】</w:t>
      </w:r>
      <w:r>
        <w:rPr>
          <w:rFonts w:ascii="Century" w:eastAsia="Century" w:hAnsi="Century" w:cs="Century"/>
        </w:rPr>
        <w:t xml:space="preserve"> </w:t>
      </w:r>
      <w:r>
        <w:rPr>
          <w:rFonts w:ascii="Century" w:eastAsia="Century" w:hAnsi="Century" w:cs="Century"/>
        </w:rPr>
        <w:tab/>
        <w:t xml:space="preserve"> </w:t>
      </w:r>
    </w:p>
    <w:p w14:paraId="7E222CB2" w14:textId="6A15B512" w:rsidR="00D30E86" w:rsidRDefault="001A3FAC">
      <w:pPr>
        <w:ind w:left="-15"/>
      </w:pPr>
      <w:r>
        <w:t xml:space="preserve">当該指標は、１年以内に支払うべき債務に対して支払うことができる現金等がある状況を示す </w:t>
      </w:r>
      <w:r>
        <w:rPr>
          <w:rFonts w:ascii="Century" w:eastAsia="Century" w:hAnsi="Century" w:cs="Century"/>
        </w:rPr>
        <w:t>100</w:t>
      </w:r>
      <w:r>
        <w:t xml:space="preserve">％以上であることが必要である。一般的に </w:t>
      </w:r>
      <w:r>
        <w:rPr>
          <w:rFonts w:ascii="Century" w:eastAsia="Century" w:hAnsi="Century" w:cs="Century"/>
        </w:rPr>
        <w:t>100</w:t>
      </w:r>
      <w:r>
        <w:t>％を下回るということは、１年以内に現金化できる資産で、１年以内に支払わなければならない負債を賄えておらず、支払能力を高めるための経営改善を図っていく必要がある。</w:t>
      </w:r>
      <w:r>
        <w:rPr>
          <w:rFonts w:ascii="Century" w:eastAsia="Century" w:hAnsi="Century" w:cs="Century"/>
        </w:rPr>
        <w:t xml:space="preserve"> </w:t>
      </w:r>
    </w:p>
    <w:p w14:paraId="00199BFC" w14:textId="5AC43768" w:rsidR="00D30E86" w:rsidRDefault="001A3FAC">
      <w:pPr>
        <w:ind w:left="-15"/>
      </w:pPr>
      <w:r>
        <w:t xml:space="preserve">分析に当たっての留意点として、例えば、当該指標が </w:t>
      </w:r>
      <w:r>
        <w:rPr>
          <w:rFonts w:ascii="Century" w:eastAsia="Century" w:hAnsi="Century" w:cs="Century"/>
        </w:rPr>
        <w:t>100</w:t>
      </w:r>
      <w:r>
        <w:t>％を上回っている場合であっても、現金といった流動資産が減少傾向にある場合や一時借入金といった流動負債が増加傾向にある場合には、将来の見込みも踏まえた分析が必要であると考えられる。</w:t>
      </w:r>
      <w:r>
        <w:rPr>
          <w:rFonts w:ascii="Century" w:eastAsia="Century" w:hAnsi="Century" w:cs="Century"/>
        </w:rPr>
        <w:t xml:space="preserve"> </w:t>
      </w:r>
    </w:p>
    <w:p w14:paraId="7181B4A3" w14:textId="5FB4E018" w:rsidR="00D30E86" w:rsidRDefault="001A3FAC">
      <w:pPr>
        <w:ind w:left="-15"/>
      </w:pPr>
      <w:r>
        <w:t xml:space="preserve">また、当該指標が </w:t>
      </w:r>
      <w:r>
        <w:rPr>
          <w:rFonts w:ascii="Century" w:eastAsia="Century" w:hAnsi="Century" w:cs="Century"/>
        </w:rPr>
        <w:t>100</w:t>
      </w:r>
      <w:r>
        <w:t>％未満であっても、流動負債には建設改良費等に充てられた企業債・他会計借入金等が含まれており、これらの財源により整備された施設について、将来、償還・返済の原資を給水収益等により得ることが予定されている場合には、一概に支払能力がないとはいえない点も踏まえた分析が必要であると考えられる。</w:t>
      </w:r>
      <w:r>
        <w:rPr>
          <w:rFonts w:ascii="Century" w:eastAsia="Century" w:hAnsi="Century" w:cs="Century"/>
        </w:rPr>
        <w:t xml:space="preserve"> </w:t>
      </w:r>
    </w:p>
    <w:p w14:paraId="17FBC3DC" w14:textId="1DFDE44A" w:rsidR="00D30E86" w:rsidRDefault="001A3FAC">
      <w:pPr>
        <w:spacing w:after="0" w:line="259" w:lineRule="auto"/>
        <w:ind w:firstLine="0"/>
      </w:pPr>
      <w:r>
        <w:rPr>
          <w:rFonts w:ascii="Century" w:eastAsia="Century" w:hAnsi="Century" w:cs="Century"/>
          <w:sz w:val="21"/>
        </w:rPr>
        <w:t xml:space="preserve"> </w:t>
      </w:r>
    </w:p>
    <w:tbl>
      <w:tblPr>
        <w:tblStyle w:val="TableGrid"/>
        <w:tblW w:w="9037" w:type="dxa"/>
        <w:tblInd w:w="300" w:type="dxa"/>
        <w:tblCellMar>
          <w:top w:w="34" w:type="dxa"/>
          <w:left w:w="107" w:type="dxa"/>
          <w:right w:w="115" w:type="dxa"/>
        </w:tblCellMar>
        <w:tblLook w:val="04A0" w:firstRow="1" w:lastRow="0" w:firstColumn="1" w:lastColumn="0" w:noHBand="0" w:noVBand="1"/>
      </w:tblPr>
      <w:tblGrid>
        <w:gridCol w:w="2546"/>
        <w:gridCol w:w="6491"/>
      </w:tblGrid>
      <w:tr w:rsidR="00D30E86" w14:paraId="168C51E0" w14:textId="77777777">
        <w:trPr>
          <w:trHeight w:val="281"/>
        </w:trPr>
        <w:tc>
          <w:tcPr>
            <w:tcW w:w="2546" w:type="dxa"/>
            <w:tcBorders>
              <w:top w:val="single" w:sz="4" w:space="0" w:color="000000"/>
              <w:left w:val="single" w:sz="4" w:space="0" w:color="000000"/>
              <w:bottom w:val="single" w:sz="4" w:space="0" w:color="000000"/>
              <w:right w:val="single" w:sz="4" w:space="0" w:color="000000"/>
            </w:tcBorders>
            <w:shd w:val="clear" w:color="auto" w:fill="FDE9D9"/>
          </w:tcPr>
          <w:p w14:paraId="30958CBD" w14:textId="77777777" w:rsidR="00D30E86" w:rsidRDefault="001A3FAC">
            <w:pPr>
              <w:spacing w:after="0" w:line="259" w:lineRule="auto"/>
              <w:ind w:firstLine="0"/>
            </w:pPr>
            <w:r>
              <w:rPr>
                <w:rFonts w:ascii="ＭＳ ゴシック" w:eastAsia="ＭＳ ゴシック" w:hAnsi="ＭＳ ゴシック" w:cs="ＭＳ ゴシック"/>
                <w:sz w:val="21"/>
              </w:rPr>
              <w:t xml:space="preserve"> </w:t>
            </w:r>
          </w:p>
        </w:tc>
        <w:tc>
          <w:tcPr>
            <w:tcW w:w="6491" w:type="dxa"/>
            <w:tcBorders>
              <w:top w:val="single" w:sz="4" w:space="0" w:color="000000"/>
              <w:left w:val="single" w:sz="4" w:space="0" w:color="000000"/>
              <w:bottom w:val="single" w:sz="4" w:space="0" w:color="000000"/>
              <w:right w:val="single" w:sz="4" w:space="0" w:color="000000"/>
            </w:tcBorders>
            <w:shd w:val="clear" w:color="auto" w:fill="FDE9D9"/>
          </w:tcPr>
          <w:p w14:paraId="744502E0" w14:textId="6569682C" w:rsidR="00D30E86" w:rsidRDefault="001A3FAC">
            <w:pPr>
              <w:spacing w:after="0" w:line="259" w:lineRule="auto"/>
              <w:ind w:left="8" w:firstLine="0"/>
              <w:jc w:val="center"/>
            </w:pPr>
            <w:r>
              <w:rPr>
                <w:rFonts w:ascii="ＭＳ ゴシック" w:eastAsia="ＭＳ ゴシック" w:hAnsi="ＭＳ ゴシック" w:cs="ＭＳ ゴシック"/>
                <w:sz w:val="21"/>
              </w:rPr>
              <w:t xml:space="preserve">算出式 </w:t>
            </w:r>
          </w:p>
        </w:tc>
      </w:tr>
      <w:tr w:rsidR="00D30E86" w14:paraId="47D989B9" w14:textId="77777777">
        <w:trPr>
          <w:trHeight w:val="563"/>
        </w:trPr>
        <w:tc>
          <w:tcPr>
            <w:tcW w:w="2546" w:type="dxa"/>
            <w:tcBorders>
              <w:top w:val="single" w:sz="4" w:space="0" w:color="000000"/>
              <w:left w:val="single" w:sz="4" w:space="0" w:color="000000"/>
              <w:bottom w:val="single" w:sz="4" w:space="0" w:color="000000"/>
              <w:right w:val="single" w:sz="4" w:space="0" w:color="000000"/>
            </w:tcBorders>
            <w:shd w:val="clear" w:color="auto" w:fill="FDE9D9"/>
          </w:tcPr>
          <w:p w14:paraId="202DB3A7" w14:textId="77777777" w:rsidR="00D30E86" w:rsidRDefault="001A3FAC">
            <w:pPr>
              <w:spacing w:after="0" w:line="259" w:lineRule="auto"/>
              <w:ind w:left="712" w:hanging="701"/>
            </w:pPr>
            <w:r>
              <w:rPr>
                <w:rFonts w:ascii="ＭＳ ゴシック" w:eastAsia="ＭＳ ゴシック" w:hAnsi="ＭＳ ゴシック" w:cs="ＭＳ ゴシック"/>
                <w:sz w:val="21"/>
              </w:rPr>
              <w:t xml:space="preserve">④企業債残高対給水収益比率（％） </w:t>
            </w:r>
          </w:p>
        </w:tc>
        <w:tc>
          <w:tcPr>
            <w:tcW w:w="6491" w:type="dxa"/>
            <w:tcBorders>
              <w:top w:val="single" w:sz="4" w:space="0" w:color="000000"/>
              <w:left w:val="single" w:sz="4" w:space="0" w:color="000000"/>
              <w:bottom w:val="single" w:sz="4" w:space="0" w:color="000000"/>
              <w:right w:val="single" w:sz="4" w:space="0" w:color="000000"/>
            </w:tcBorders>
          </w:tcPr>
          <w:p w14:paraId="1451C6C4" w14:textId="5DD055D8" w:rsidR="00D30E86" w:rsidRDefault="00B20641">
            <w:pPr>
              <w:spacing w:after="0" w:line="259" w:lineRule="auto"/>
              <w:ind w:right="497" w:firstLine="0"/>
              <w:jc w:val="center"/>
            </w:pPr>
            <w:r>
              <w:rPr>
                <w:noProof/>
                <w:sz w:val="28"/>
              </w:rPr>
              <mc:AlternateContent>
                <mc:Choice Requires="wps">
                  <w:drawing>
                    <wp:anchor distT="0" distB="0" distL="114300" distR="114300" simplePos="0" relativeHeight="251665408" behindDoc="0" locked="0" layoutInCell="1" allowOverlap="1" wp14:anchorId="4A399C7F" wp14:editId="0B0519D1">
                      <wp:simplePos x="0" y="0"/>
                      <wp:positionH relativeFrom="column">
                        <wp:posOffset>2303145</wp:posOffset>
                      </wp:positionH>
                      <wp:positionV relativeFrom="paragraph">
                        <wp:posOffset>162560</wp:posOffset>
                      </wp:positionV>
                      <wp:extent cx="5905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90550" cy="285750"/>
                              </a:xfrm>
                              <a:prstGeom prst="rect">
                                <a:avLst/>
                              </a:prstGeom>
                              <a:noFill/>
                              <a:ln w="6350">
                                <a:noFill/>
                              </a:ln>
                            </wps:spPr>
                            <wps:txbx>
                              <w:txbxContent>
                                <w:p w14:paraId="49C623FA" w14:textId="77777777" w:rsidR="00B20641" w:rsidRPr="00B20641" w:rsidRDefault="00B20641" w:rsidP="00B20641">
                                  <w:pPr>
                                    <w:rPr>
                                      <w:sz w:val="18"/>
                                      <w:szCs w:val="18"/>
                                    </w:rPr>
                                  </w:pPr>
                                  <w:r w:rsidRPr="00B20641">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399C7F" id="テキスト ボックス 4" o:spid="_x0000_s1029" type="#_x0000_t202" style="position:absolute;left:0;text-align:left;margin-left:181.35pt;margin-top:12.8pt;width:46.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" filled="f" stroked="f" strokeweight=".5pt">
                      <v:textbox>
                        <w:txbxContent>
                          <w:p w14:paraId="49C623FA" w14:textId="77777777" w:rsidR="00B20641" w:rsidRPr="00B20641" w:rsidRDefault="00B20641" w:rsidP="00B20641">
                            <w:pPr>
                              <w:rPr>
                                <w:sz w:val="18"/>
                                <w:szCs w:val="18"/>
                              </w:rPr>
                            </w:pPr>
                            <w:r w:rsidRPr="00B20641">
                              <w:rPr>
                                <w:rFonts w:hint="eastAsia"/>
                                <w:sz w:val="18"/>
                                <w:szCs w:val="18"/>
                              </w:rPr>
                              <w:t>×</w:t>
                            </w:r>
                          </w:p>
                        </w:txbxContent>
                      </v:textbox>
                    </v:shape>
                  </w:pict>
                </mc:Fallback>
              </mc:AlternateContent>
            </w:r>
            <w:r w:rsidR="001A3FAC">
              <w:rPr>
                <w:sz w:val="18"/>
              </w:rPr>
              <w:t>企業債現在高合計</w:t>
            </w:r>
          </w:p>
          <w:p w14:paraId="2043106B" w14:textId="432658FB" w:rsidR="00D30E86" w:rsidRDefault="001A3FAC">
            <w:pPr>
              <w:spacing w:after="0" w:line="259" w:lineRule="auto"/>
              <w:ind w:left="2526" w:right="1330" w:hanging="360"/>
            </w:pPr>
            <w:r>
              <w:rPr>
                <w:rFonts w:ascii="Calibri" w:eastAsia="Calibri" w:hAnsi="Calibri" w:cs="Calibri"/>
                <w:noProof/>
              </w:rPr>
              <mc:AlternateContent>
                <mc:Choice Requires="wpg">
                  <w:drawing>
                    <wp:inline distT="0" distB="0" distL="0" distR="0" wp14:anchorId="10C0680B" wp14:editId="40641D34">
                      <wp:extent cx="914400" cy="7620"/>
                      <wp:effectExtent l="0" t="0" r="0" b="0"/>
                      <wp:docPr id="5317" name="Group 5317"/>
                      <wp:cNvGraphicFramePr/>
                      <a:graphic xmlns:a="http://schemas.openxmlformats.org/drawingml/2006/main">
                        <a:graphicData uri="http://schemas.microsoft.com/office/word/2010/wordprocessingGroup">
                          <wpg:wgp>
                            <wpg:cNvGrpSpPr/>
                            <wpg:grpSpPr>
                              <a:xfrm>
                                <a:off x="0" y="0"/>
                                <a:ext cx="914400" cy="7620"/>
                                <a:chOff x="0" y="0"/>
                                <a:chExt cx="914400" cy="7620"/>
                              </a:xfrm>
                            </wpg:grpSpPr>
                            <wps:wsp>
                              <wps:cNvPr id="7455" name="Shape 7455"/>
                              <wps:cNvSpPr/>
                              <wps:spPr>
                                <a:xfrm>
                                  <a:off x="0" y="0"/>
                                  <a:ext cx="914400" cy="9144"/>
                                </a:xfrm>
                                <a:custGeom>
                                  <a:avLst/>
                                  <a:gdLst/>
                                  <a:ahLst/>
                                  <a:cxnLst/>
                                  <a:rect l="0" t="0" r="0" b="0"/>
                                  <a:pathLst>
                                    <a:path w="914400" h="9144">
                                      <a:moveTo>
                                        <a:pt x="0" y="0"/>
                                      </a:moveTo>
                                      <a:lnTo>
                                        <a:pt x="914400" y="0"/>
                                      </a:lnTo>
                                      <a:lnTo>
                                        <a:pt x="914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17" style="width:72pt;height:0.599976pt;mso-position-horizontal-relative:char;mso-position-vertical-relative:line" coordsize="9144,76">
                      <v:shape id="Shape 7456" style="position:absolute;width:9144;height:91;left:0;top:0;" coordsize="914400,9144" path="m0,0l914400,0l914400,9144l0,9144l0,0">
                        <v:stroke weight="0pt" endcap="flat" joinstyle="miter" miterlimit="10" on="false" color="#000000" opacity="0"/>
                        <v:fill on="true" color="#000000"/>
                      </v:shape>
                    </v:group>
                  </w:pict>
                </mc:Fallback>
              </mc:AlternateContent>
            </w:r>
            <w:r w:rsidR="00B20641">
              <w:rPr>
                <w:rFonts w:hint="eastAsia"/>
                <w:sz w:val="18"/>
              </w:rPr>
              <w:t xml:space="preserve">　　　　　</w:t>
            </w:r>
            <w:r>
              <w:rPr>
                <w:rFonts w:ascii="Cambria" w:eastAsia="Cambria" w:hAnsi="Cambria" w:cs="Cambria"/>
                <w:sz w:val="18"/>
              </w:rPr>
              <w:t>100</w:t>
            </w:r>
            <w:r>
              <w:rPr>
                <w:sz w:val="21"/>
              </w:rPr>
              <w:t xml:space="preserve"> </w:t>
            </w:r>
            <w:r>
              <w:rPr>
                <w:sz w:val="18"/>
              </w:rPr>
              <w:t>給水収益</w:t>
            </w:r>
          </w:p>
        </w:tc>
      </w:tr>
    </w:tbl>
    <w:p w14:paraId="7F856887" w14:textId="77777777" w:rsidR="00D30E86" w:rsidRDefault="001A3FAC">
      <w:pPr>
        <w:spacing w:after="67" w:line="259" w:lineRule="auto"/>
        <w:ind w:left="-15" w:firstLine="0"/>
      </w:pPr>
      <w:r>
        <w:t>【指標の意味】</w:t>
      </w:r>
      <w:r>
        <w:rPr>
          <w:rFonts w:ascii="Century" w:eastAsia="Century" w:hAnsi="Century" w:cs="Century"/>
        </w:rPr>
        <w:t xml:space="preserve"> </w:t>
      </w:r>
    </w:p>
    <w:p w14:paraId="3C07F995" w14:textId="77777777" w:rsidR="00D30E86" w:rsidRDefault="001A3FAC">
      <w:pPr>
        <w:spacing w:after="69" w:line="259" w:lineRule="auto"/>
        <w:ind w:left="220" w:firstLine="0"/>
      </w:pPr>
      <w:r>
        <w:t>給水収益に対する企業債残高の割合であり、企業債残高の規模を表す指標である。</w:t>
      </w:r>
      <w:r>
        <w:rPr>
          <w:rFonts w:ascii="Century" w:eastAsia="Century" w:hAnsi="Century" w:cs="Century"/>
          <w:color w:val="FF0000"/>
        </w:rPr>
        <w:t xml:space="preserve"> </w:t>
      </w:r>
    </w:p>
    <w:p w14:paraId="18FE8A65" w14:textId="412B3C7E" w:rsidR="00D30E86" w:rsidRDefault="001A3FAC">
      <w:pPr>
        <w:spacing w:after="67" w:line="259" w:lineRule="auto"/>
        <w:ind w:left="-15" w:firstLine="0"/>
      </w:pPr>
      <w:r>
        <w:t>【分析の考え方】</w:t>
      </w:r>
      <w:r>
        <w:rPr>
          <w:rFonts w:ascii="Century" w:eastAsia="Century" w:hAnsi="Century" w:cs="Century"/>
        </w:rPr>
        <w:t xml:space="preserve"> </w:t>
      </w:r>
    </w:p>
    <w:p w14:paraId="7810002E" w14:textId="00B0E433" w:rsidR="00D30E86" w:rsidRDefault="001A3FAC">
      <w:pPr>
        <w:ind w:left="-15"/>
      </w:pPr>
      <w:r>
        <w:t>当該指標については、明確な数値基準はないと考えられる。従って、経年比較や類似団体との比較等により自団体の置かれている状況を把握・分析し、適切な数値となっているか、対外的に説明できることが求められる。</w:t>
      </w:r>
      <w:r>
        <w:rPr>
          <w:rFonts w:ascii="Century" w:eastAsia="Century" w:hAnsi="Century" w:cs="Century"/>
        </w:rPr>
        <w:t xml:space="preserve"> </w:t>
      </w:r>
    </w:p>
    <w:p w14:paraId="18E3ED75" w14:textId="76853195" w:rsidR="00D30E86" w:rsidRDefault="001A3FAC">
      <w:pPr>
        <w:ind w:left="-15"/>
      </w:pPr>
      <w:r>
        <w:t>分析に当たっての留意点として、例えば、当該指標が類似団体との比較で低い場合であっても、投資規模は適切か、料金水準は適切か、必要な更新を先送りしているため企業債残高が少額となっているに過ぎないかといった分析を行い、経営改善を図っていく必要があると考えられる。</w:t>
      </w:r>
      <w:r>
        <w:rPr>
          <w:rFonts w:ascii="Century" w:eastAsia="Century" w:hAnsi="Century" w:cs="Century"/>
        </w:rPr>
        <w:t xml:space="preserve"> </w:t>
      </w:r>
    </w:p>
    <w:p w14:paraId="7B196802" w14:textId="77777777" w:rsidR="00D30E86" w:rsidRDefault="001A3FAC">
      <w:pPr>
        <w:spacing w:after="0" w:line="259" w:lineRule="auto"/>
        <w:ind w:firstLine="0"/>
      </w:pPr>
      <w:r>
        <w:rPr>
          <w:rFonts w:ascii="Century" w:eastAsia="Century" w:hAnsi="Century" w:cs="Century"/>
          <w:color w:val="FF0000"/>
          <w:sz w:val="21"/>
        </w:rPr>
        <w:t xml:space="preserve"> </w:t>
      </w:r>
    </w:p>
    <w:tbl>
      <w:tblPr>
        <w:tblStyle w:val="TableGrid"/>
        <w:tblW w:w="9037" w:type="dxa"/>
        <w:tblInd w:w="300" w:type="dxa"/>
        <w:tblCellMar>
          <w:top w:w="35" w:type="dxa"/>
          <w:left w:w="107" w:type="dxa"/>
          <w:right w:w="115" w:type="dxa"/>
        </w:tblCellMar>
        <w:tblLook w:val="04A0" w:firstRow="1" w:lastRow="0" w:firstColumn="1" w:lastColumn="0" w:noHBand="0" w:noVBand="1"/>
      </w:tblPr>
      <w:tblGrid>
        <w:gridCol w:w="2546"/>
        <w:gridCol w:w="6491"/>
      </w:tblGrid>
      <w:tr w:rsidR="00D30E86" w14:paraId="1CA89002" w14:textId="77777777">
        <w:trPr>
          <w:trHeight w:val="281"/>
        </w:trPr>
        <w:tc>
          <w:tcPr>
            <w:tcW w:w="2546" w:type="dxa"/>
            <w:tcBorders>
              <w:top w:val="single" w:sz="4" w:space="0" w:color="000000"/>
              <w:left w:val="single" w:sz="4" w:space="0" w:color="000000"/>
              <w:bottom w:val="single" w:sz="4" w:space="0" w:color="000000"/>
              <w:right w:val="single" w:sz="4" w:space="0" w:color="000000"/>
            </w:tcBorders>
            <w:shd w:val="clear" w:color="auto" w:fill="FDE9D9"/>
          </w:tcPr>
          <w:p w14:paraId="18B81202" w14:textId="77777777" w:rsidR="00D30E86" w:rsidRDefault="001A3FAC">
            <w:pPr>
              <w:spacing w:after="0" w:line="259" w:lineRule="auto"/>
              <w:ind w:firstLine="0"/>
            </w:pPr>
            <w:r>
              <w:rPr>
                <w:rFonts w:ascii="ＭＳ ゴシック" w:eastAsia="ＭＳ ゴシック" w:hAnsi="ＭＳ ゴシック" w:cs="ＭＳ ゴシック"/>
                <w:sz w:val="21"/>
              </w:rPr>
              <w:t xml:space="preserve"> </w:t>
            </w:r>
          </w:p>
        </w:tc>
        <w:tc>
          <w:tcPr>
            <w:tcW w:w="6491" w:type="dxa"/>
            <w:tcBorders>
              <w:top w:val="single" w:sz="4" w:space="0" w:color="000000"/>
              <w:left w:val="single" w:sz="4" w:space="0" w:color="000000"/>
              <w:bottom w:val="single" w:sz="4" w:space="0" w:color="000000"/>
              <w:right w:val="single" w:sz="4" w:space="0" w:color="000000"/>
            </w:tcBorders>
            <w:shd w:val="clear" w:color="auto" w:fill="FDE9D9"/>
          </w:tcPr>
          <w:p w14:paraId="6897A52D" w14:textId="74C8A895" w:rsidR="00D30E86" w:rsidRDefault="001A3FAC">
            <w:pPr>
              <w:spacing w:after="0" w:line="259" w:lineRule="auto"/>
              <w:ind w:left="8" w:firstLine="0"/>
              <w:jc w:val="center"/>
            </w:pPr>
            <w:r>
              <w:rPr>
                <w:rFonts w:ascii="ＭＳ ゴシック" w:eastAsia="ＭＳ ゴシック" w:hAnsi="ＭＳ ゴシック" w:cs="ＭＳ ゴシック"/>
                <w:sz w:val="21"/>
              </w:rPr>
              <w:t xml:space="preserve">算出式 </w:t>
            </w:r>
          </w:p>
        </w:tc>
      </w:tr>
      <w:tr w:rsidR="00D30E86" w14:paraId="6E4B2D76" w14:textId="77777777">
        <w:trPr>
          <w:trHeight w:val="563"/>
        </w:trPr>
        <w:tc>
          <w:tcPr>
            <w:tcW w:w="2546"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09A95C58" w14:textId="77777777" w:rsidR="00D30E86" w:rsidRDefault="001A3FAC">
            <w:pPr>
              <w:spacing w:after="0" w:line="259" w:lineRule="auto"/>
              <w:ind w:left="221" w:firstLine="0"/>
            </w:pPr>
            <w:r>
              <w:rPr>
                <w:rFonts w:ascii="ＭＳ ゴシック" w:eastAsia="ＭＳ ゴシック" w:hAnsi="ＭＳ ゴシック" w:cs="ＭＳ ゴシック"/>
                <w:sz w:val="21"/>
              </w:rPr>
              <w:t xml:space="preserve">⑤料金回収率（％） </w:t>
            </w:r>
          </w:p>
        </w:tc>
        <w:tc>
          <w:tcPr>
            <w:tcW w:w="6491" w:type="dxa"/>
            <w:tcBorders>
              <w:top w:val="single" w:sz="4" w:space="0" w:color="000000"/>
              <w:left w:val="single" w:sz="4" w:space="0" w:color="000000"/>
              <w:bottom w:val="single" w:sz="4" w:space="0" w:color="000000"/>
              <w:right w:val="single" w:sz="4" w:space="0" w:color="000000"/>
            </w:tcBorders>
          </w:tcPr>
          <w:p w14:paraId="4148579D" w14:textId="32BC745B" w:rsidR="00D30E86" w:rsidRDefault="00B20641">
            <w:pPr>
              <w:spacing w:after="0" w:line="259" w:lineRule="auto"/>
              <w:ind w:right="497" w:firstLine="0"/>
              <w:jc w:val="center"/>
            </w:pPr>
            <w:r>
              <w:rPr>
                <w:noProof/>
                <w:sz w:val="28"/>
              </w:rPr>
              <mc:AlternateContent>
                <mc:Choice Requires="wps">
                  <w:drawing>
                    <wp:anchor distT="0" distB="0" distL="114300" distR="114300" simplePos="0" relativeHeight="251667456" behindDoc="0" locked="0" layoutInCell="1" allowOverlap="1" wp14:anchorId="26C86451" wp14:editId="68EE7EDF">
                      <wp:simplePos x="0" y="0"/>
                      <wp:positionH relativeFrom="margin">
                        <wp:posOffset>2160270</wp:posOffset>
                      </wp:positionH>
                      <wp:positionV relativeFrom="paragraph">
                        <wp:posOffset>152400</wp:posOffset>
                      </wp:positionV>
                      <wp:extent cx="590550"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90550" cy="276225"/>
                              </a:xfrm>
                              <a:prstGeom prst="rect">
                                <a:avLst/>
                              </a:prstGeom>
                              <a:noFill/>
                              <a:ln w="6350">
                                <a:noFill/>
                              </a:ln>
                            </wps:spPr>
                            <wps:txbx>
                              <w:txbxContent>
                                <w:p w14:paraId="2F52C9AD" w14:textId="77777777" w:rsidR="00B20641" w:rsidRPr="00B20641" w:rsidRDefault="00B20641" w:rsidP="00B20641">
                                  <w:pPr>
                                    <w:rPr>
                                      <w:sz w:val="18"/>
                                      <w:szCs w:val="18"/>
                                    </w:rPr>
                                  </w:pPr>
                                  <w:r w:rsidRPr="00B20641">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86451" id="テキスト ボックス 5" o:spid="_x0000_s1030" type="#_x0000_t202" style="position:absolute;left:0;text-align:left;margin-left:170.1pt;margin-top:12pt;width:46.5pt;height:2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i9GQIAADIEAAAOAAAAZHJzL2Uyb0RvYy54bWysU01v2zAMvQ/YfxB0X5x4Sdo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" filled="f" stroked="f" strokeweight=".5pt">
                      <v:textbox>
                        <w:txbxContent>
                          <w:p w14:paraId="2F52C9AD" w14:textId="77777777" w:rsidR="00B20641" w:rsidRPr="00B20641" w:rsidRDefault="00B20641" w:rsidP="00B20641">
                            <w:pPr>
                              <w:rPr>
                                <w:sz w:val="18"/>
                                <w:szCs w:val="18"/>
                              </w:rPr>
                            </w:pPr>
                            <w:r w:rsidRPr="00B20641">
                              <w:rPr>
                                <w:rFonts w:hint="eastAsia"/>
                                <w:sz w:val="18"/>
                                <w:szCs w:val="18"/>
                              </w:rPr>
                              <w:t>×</w:t>
                            </w:r>
                          </w:p>
                        </w:txbxContent>
                      </v:textbox>
                      <w10:wrap anchorx="margin"/>
                    </v:shape>
                  </w:pict>
                </mc:Fallback>
              </mc:AlternateContent>
            </w:r>
            <w:r w:rsidR="001A3FAC">
              <w:rPr>
                <w:sz w:val="18"/>
              </w:rPr>
              <w:t>供給単価</w:t>
            </w:r>
          </w:p>
          <w:p w14:paraId="0F55EBFE" w14:textId="530AD638" w:rsidR="00D30E86" w:rsidRDefault="001A3FAC">
            <w:pPr>
              <w:spacing w:after="0" w:line="259" w:lineRule="auto"/>
              <w:ind w:left="2526" w:right="1690" w:firstLine="0"/>
            </w:pPr>
            <w:r>
              <w:rPr>
                <w:rFonts w:ascii="Calibri" w:eastAsia="Calibri" w:hAnsi="Calibri" w:cs="Calibri"/>
                <w:noProof/>
              </w:rPr>
              <mc:AlternateContent>
                <mc:Choice Requires="wpg">
                  <w:drawing>
                    <wp:inline distT="0" distB="0" distL="0" distR="0" wp14:anchorId="5BC11800" wp14:editId="19C2961D">
                      <wp:extent cx="457200" cy="7620"/>
                      <wp:effectExtent l="0" t="0" r="0" b="0"/>
                      <wp:docPr id="5188" name="Group 5188"/>
                      <wp:cNvGraphicFramePr/>
                      <a:graphic xmlns:a="http://schemas.openxmlformats.org/drawingml/2006/main">
                        <a:graphicData uri="http://schemas.microsoft.com/office/word/2010/wordprocessingGroup">
                          <wpg:wgp>
                            <wpg:cNvGrpSpPr/>
                            <wpg:grpSpPr>
                              <a:xfrm>
                                <a:off x="0" y="0"/>
                                <a:ext cx="457200" cy="7620"/>
                                <a:chOff x="0" y="0"/>
                                <a:chExt cx="457200" cy="7620"/>
                              </a:xfrm>
                            </wpg:grpSpPr>
                            <wps:wsp>
                              <wps:cNvPr id="7457" name="Shape 7457"/>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88" style="width:36pt;height:0.600037pt;mso-position-horizontal-relative:char;mso-position-vertical-relative:line" coordsize="4572,76">
                      <v:shape id="Shape 7458" style="position:absolute;width:4572;height:91;left:0;top:0;" coordsize="457200,9144" path="m0,0l457200,0l457200,9144l0,9144l0,0">
                        <v:stroke weight="0pt" endcap="flat" joinstyle="miter" miterlimit="10" on="false" color="#000000" opacity="0"/>
                        <v:fill on="true" color="#000000"/>
                      </v:shape>
                    </v:group>
                  </w:pict>
                </mc:Fallback>
              </mc:AlternateContent>
            </w:r>
            <w:r w:rsidR="00B20641">
              <w:rPr>
                <w:rFonts w:hint="eastAsia"/>
                <w:sz w:val="18"/>
              </w:rPr>
              <w:t xml:space="preserve">　　　　　</w:t>
            </w:r>
            <w:r>
              <w:rPr>
                <w:rFonts w:ascii="Cambria" w:eastAsia="Cambria" w:hAnsi="Cambria" w:cs="Cambria"/>
                <w:sz w:val="18"/>
              </w:rPr>
              <w:t>100</w:t>
            </w:r>
            <w:r>
              <w:rPr>
                <w:sz w:val="21"/>
              </w:rPr>
              <w:t xml:space="preserve"> </w:t>
            </w:r>
            <w:r>
              <w:rPr>
                <w:sz w:val="18"/>
              </w:rPr>
              <w:t>給水原価</w:t>
            </w:r>
          </w:p>
        </w:tc>
      </w:tr>
    </w:tbl>
    <w:p w14:paraId="551BFEED" w14:textId="77777777" w:rsidR="00D30E86" w:rsidRDefault="001A3FAC">
      <w:pPr>
        <w:spacing w:after="67" w:line="259" w:lineRule="auto"/>
        <w:ind w:left="-15" w:firstLine="0"/>
      </w:pPr>
      <w:r>
        <w:t>【指標の意味】</w:t>
      </w:r>
      <w:r>
        <w:rPr>
          <w:rFonts w:ascii="Century" w:eastAsia="Century" w:hAnsi="Century" w:cs="Century"/>
        </w:rPr>
        <w:t xml:space="preserve"> </w:t>
      </w:r>
    </w:p>
    <w:p w14:paraId="2E0FBC11" w14:textId="77777777" w:rsidR="00D30E86" w:rsidRDefault="001A3FAC">
      <w:pPr>
        <w:ind w:left="-15"/>
      </w:pPr>
      <w:r>
        <w:t>給水に係る費用が、どの程度給水収益で賄えているかを表した指標であり、料金水準等を評価することが可能である。</w:t>
      </w:r>
      <w:r>
        <w:rPr>
          <w:rFonts w:ascii="Century" w:eastAsia="Century" w:hAnsi="Century" w:cs="Century"/>
        </w:rPr>
        <w:t xml:space="preserve"> </w:t>
      </w:r>
    </w:p>
    <w:p w14:paraId="2CAE9638" w14:textId="77777777" w:rsidR="00D30E86" w:rsidRDefault="001A3FAC">
      <w:pPr>
        <w:spacing w:after="68" w:line="259" w:lineRule="auto"/>
        <w:ind w:left="-15" w:firstLine="0"/>
      </w:pPr>
      <w:r>
        <w:t>【分析の考え方】</w:t>
      </w:r>
      <w:r>
        <w:rPr>
          <w:rFonts w:ascii="Century" w:eastAsia="Century" w:hAnsi="Century" w:cs="Century"/>
        </w:rPr>
        <w:t xml:space="preserve"> </w:t>
      </w:r>
    </w:p>
    <w:p w14:paraId="40C5A51B" w14:textId="3F84D8C0" w:rsidR="00D30E86" w:rsidRDefault="001A3FAC">
      <w:pPr>
        <w:ind w:left="-15"/>
      </w:pPr>
      <w:r>
        <w:lastRenderedPageBreak/>
        <w:t xml:space="preserve">当該指標は、供給単価と給水原価との関係を見るものであり、料金回収率が </w:t>
      </w:r>
      <w:r>
        <w:rPr>
          <w:rFonts w:ascii="Century" w:eastAsia="Century" w:hAnsi="Century" w:cs="Century"/>
        </w:rPr>
        <w:t>100</w:t>
      </w:r>
      <w:r>
        <w:t>％を下回っている場合、給水に係る費用が給水収益以外の収入で賄われていることを意味する。数値が低く、繰出基準に定める事由以外の繰出金によって収入不足を補塡しているような事業体にあっては、適切な料金収入の確保が求められる。</w:t>
      </w:r>
      <w:r>
        <w:rPr>
          <w:rFonts w:ascii="Century" w:eastAsia="Century" w:hAnsi="Century" w:cs="Century"/>
        </w:rPr>
        <w:t xml:space="preserve"> </w:t>
      </w:r>
    </w:p>
    <w:p w14:paraId="795BD093" w14:textId="6FEA8394" w:rsidR="00D30E86" w:rsidRDefault="001A3FAC">
      <w:pPr>
        <w:ind w:left="-15"/>
      </w:pPr>
      <w:r>
        <w:t xml:space="preserve">分析に当たっての留意点としては、経常収支比率と同様に、例えば、当該指標が </w:t>
      </w:r>
      <w:r>
        <w:rPr>
          <w:rFonts w:ascii="Century" w:eastAsia="Century" w:hAnsi="Century" w:cs="Century"/>
        </w:rPr>
        <w:t>100</w:t>
      </w:r>
      <w:r>
        <w:t>％以上の場合であっても、更なる費用削減や更新投資等に充てる財源が確保されているか等、今後も健全経営を続けていくための改善点を洗い出すといった観点から分析する必要があると考えられる。</w:t>
      </w:r>
      <w:r>
        <w:rPr>
          <w:rFonts w:ascii="Century" w:eastAsia="Century" w:hAnsi="Century" w:cs="Century"/>
        </w:rPr>
        <w:t xml:space="preserve"> </w:t>
      </w:r>
    </w:p>
    <w:p w14:paraId="525D9A73" w14:textId="08B77DB4" w:rsidR="00D30E86" w:rsidRDefault="001A3FAC">
      <w:pPr>
        <w:spacing w:after="0" w:line="259" w:lineRule="auto"/>
        <w:ind w:firstLine="0"/>
      </w:pPr>
      <w:r>
        <w:rPr>
          <w:rFonts w:ascii="Century" w:eastAsia="Century" w:hAnsi="Century" w:cs="Century"/>
          <w:sz w:val="21"/>
        </w:rPr>
        <w:t xml:space="preserve"> </w:t>
      </w:r>
    </w:p>
    <w:tbl>
      <w:tblPr>
        <w:tblStyle w:val="TableGrid"/>
        <w:tblW w:w="9037" w:type="dxa"/>
        <w:tblInd w:w="300" w:type="dxa"/>
        <w:tblCellMar>
          <w:top w:w="34" w:type="dxa"/>
          <w:left w:w="107" w:type="dxa"/>
          <w:right w:w="115" w:type="dxa"/>
        </w:tblCellMar>
        <w:tblLook w:val="04A0" w:firstRow="1" w:lastRow="0" w:firstColumn="1" w:lastColumn="0" w:noHBand="0" w:noVBand="1"/>
      </w:tblPr>
      <w:tblGrid>
        <w:gridCol w:w="2546"/>
        <w:gridCol w:w="6491"/>
      </w:tblGrid>
      <w:tr w:rsidR="00D30E86" w14:paraId="34CD9B39" w14:textId="77777777">
        <w:trPr>
          <w:trHeight w:val="281"/>
        </w:trPr>
        <w:tc>
          <w:tcPr>
            <w:tcW w:w="2546" w:type="dxa"/>
            <w:tcBorders>
              <w:top w:val="single" w:sz="4" w:space="0" w:color="000000"/>
              <w:left w:val="single" w:sz="4" w:space="0" w:color="000000"/>
              <w:bottom w:val="single" w:sz="4" w:space="0" w:color="000000"/>
              <w:right w:val="single" w:sz="4" w:space="0" w:color="000000"/>
            </w:tcBorders>
            <w:shd w:val="clear" w:color="auto" w:fill="FDE9D9"/>
          </w:tcPr>
          <w:p w14:paraId="6BFB2223" w14:textId="77777777" w:rsidR="00D30E86" w:rsidRDefault="001A3FAC">
            <w:pPr>
              <w:spacing w:after="0" w:line="259" w:lineRule="auto"/>
              <w:ind w:firstLine="0"/>
            </w:pPr>
            <w:r>
              <w:rPr>
                <w:rFonts w:ascii="ＭＳ ゴシック" w:eastAsia="ＭＳ ゴシック" w:hAnsi="ＭＳ ゴシック" w:cs="ＭＳ ゴシック"/>
                <w:sz w:val="21"/>
              </w:rPr>
              <w:t xml:space="preserve"> </w:t>
            </w:r>
          </w:p>
        </w:tc>
        <w:tc>
          <w:tcPr>
            <w:tcW w:w="6491" w:type="dxa"/>
            <w:tcBorders>
              <w:top w:val="single" w:sz="4" w:space="0" w:color="000000"/>
              <w:left w:val="single" w:sz="4" w:space="0" w:color="000000"/>
              <w:bottom w:val="single" w:sz="4" w:space="0" w:color="000000"/>
              <w:right w:val="single" w:sz="4" w:space="0" w:color="000000"/>
            </w:tcBorders>
            <w:shd w:val="clear" w:color="auto" w:fill="FDE9D9"/>
          </w:tcPr>
          <w:p w14:paraId="1C599C4B" w14:textId="7E846B81" w:rsidR="00D30E86" w:rsidRDefault="001A3FAC">
            <w:pPr>
              <w:spacing w:after="0" w:line="259" w:lineRule="auto"/>
              <w:ind w:left="8" w:firstLine="0"/>
              <w:jc w:val="center"/>
            </w:pPr>
            <w:r>
              <w:rPr>
                <w:rFonts w:ascii="ＭＳ ゴシック" w:eastAsia="ＭＳ ゴシック" w:hAnsi="ＭＳ ゴシック" w:cs="ＭＳ ゴシック"/>
                <w:sz w:val="21"/>
              </w:rPr>
              <w:t xml:space="preserve">算出式 </w:t>
            </w:r>
          </w:p>
        </w:tc>
      </w:tr>
      <w:tr w:rsidR="00D30E86" w14:paraId="1DBBA33A" w14:textId="77777777">
        <w:trPr>
          <w:trHeight w:val="639"/>
        </w:trPr>
        <w:tc>
          <w:tcPr>
            <w:tcW w:w="2546"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4EC8B977" w14:textId="77777777" w:rsidR="00D30E86" w:rsidRDefault="001A3FAC">
            <w:pPr>
              <w:spacing w:after="0" w:line="259" w:lineRule="auto"/>
              <w:ind w:left="6" w:firstLine="0"/>
              <w:jc w:val="center"/>
            </w:pPr>
            <w:r>
              <w:rPr>
                <w:rFonts w:ascii="ＭＳ ゴシック" w:eastAsia="ＭＳ ゴシック" w:hAnsi="ＭＳ ゴシック" w:cs="ＭＳ ゴシック"/>
                <w:sz w:val="21"/>
              </w:rPr>
              <w:t xml:space="preserve">⑥給水原価（円） </w:t>
            </w:r>
          </w:p>
        </w:tc>
        <w:tc>
          <w:tcPr>
            <w:tcW w:w="6491" w:type="dxa"/>
            <w:tcBorders>
              <w:top w:val="single" w:sz="4" w:space="0" w:color="000000"/>
              <w:left w:val="single" w:sz="4" w:space="0" w:color="000000"/>
              <w:bottom w:val="single" w:sz="4" w:space="0" w:color="000000"/>
              <w:right w:val="single" w:sz="4" w:space="0" w:color="000000"/>
            </w:tcBorders>
          </w:tcPr>
          <w:p w14:paraId="057FE952" w14:textId="16CED01C" w:rsidR="00D30E86" w:rsidRDefault="001A3FAC">
            <w:pPr>
              <w:spacing w:after="54" w:line="259" w:lineRule="auto"/>
              <w:ind w:left="1061" w:firstLine="0"/>
            </w:pPr>
            <w:r>
              <w:rPr>
                <w:sz w:val="12"/>
              </w:rPr>
              <w:t>経常費用</w:t>
            </w:r>
            <w:r w:rsidR="00B20641">
              <w:rPr>
                <w:rFonts w:hint="eastAsia"/>
                <w:sz w:val="12"/>
              </w:rPr>
              <w:t xml:space="preserve">　－</w:t>
            </w:r>
            <w:r>
              <w:rPr>
                <w:sz w:val="12"/>
              </w:rPr>
              <w:t>（受託工事費＋材料及び不用品売却原価＋附帯事業費）</w:t>
            </w:r>
          </w:p>
          <w:p w14:paraId="17268F29" w14:textId="667C1EC8" w:rsidR="00D30E86" w:rsidRDefault="00B20641">
            <w:pPr>
              <w:spacing w:after="0" w:line="259" w:lineRule="auto"/>
              <w:ind w:right="498" w:firstLine="0"/>
              <w:jc w:val="center"/>
            </w:pPr>
            <w:r>
              <w:rPr>
                <w:noProof/>
                <w:sz w:val="28"/>
              </w:rPr>
              <mc:AlternateContent>
                <mc:Choice Requires="wps">
                  <w:drawing>
                    <wp:anchor distT="0" distB="0" distL="114300" distR="114300" simplePos="0" relativeHeight="251669504" behindDoc="0" locked="0" layoutInCell="1" allowOverlap="1" wp14:anchorId="136813F3" wp14:editId="027F80C3">
                      <wp:simplePos x="0" y="0"/>
                      <wp:positionH relativeFrom="column">
                        <wp:posOffset>2922270</wp:posOffset>
                      </wp:positionH>
                      <wp:positionV relativeFrom="paragraph">
                        <wp:posOffset>80645</wp:posOffset>
                      </wp:positionV>
                      <wp:extent cx="59055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90550" cy="285750"/>
                              </a:xfrm>
                              <a:prstGeom prst="rect">
                                <a:avLst/>
                              </a:prstGeom>
                              <a:noFill/>
                              <a:ln w="6350">
                                <a:noFill/>
                              </a:ln>
                            </wps:spPr>
                            <wps:txbx>
                              <w:txbxContent>
                                <w:p w14:paraId="2D23D55F" w14:textId="77777777" w:rsidR="00B20641" w:rsidRPr="00B20641" w:rsidRDefault="00B20641" w:rsidP="00B20641">
                                  <w:pPr>
                                    <w:rPr>
                                      <w:sz w:val="18"/>
                                      <w:szCs w:val="18"/>
                                    </w:rPr>
                                  </w:pPr>
                                  <w:r w:rsidRPr="00B20641">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6813F3" id="テキスト ボックス 6" o:spid="_x0000_s1031" type="#_x0000_t202" style="position:absolute;left:0;text-align:left;margin-left:230.1pt;margin-top:6.35pt;width:46.5pt;height: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" filled="f" stroked="f" strokeweight=".5pt">
                      <v:textbox>
                        <w:txbxContent>
                          <w:p w14:paraId="2D23D55F" w14:textId="77777777" w:rsidR="00B20641" w:rsidRPr="00B20641" w:rsidRDefault="00B20641" w:rsidP="00B20641">
                            <w:pPr>
                              <w:rPr>
                                <w:sz w:val="18"/>
                                <w:szCs w:val="18"/>
                              </w:rPr>
                            </w:pPr>
                            <w:r w:rsidRPr="00B20641">
                              <w:rPr>
                                <w:rFonts w:hint="eastAsia"/>
                                <w:sz w:val="18"/>
                                <w:szCs w:val="18"/>
                              </w:rPr>
                              <w:t>×</w:t>
                            </w:r>
                          </w:p>
                        </w:txbxContent>
                      </v:textbox>
                    </v:shape>
                  </w:pict>
                </mc:Fallback>
              </mc:AlternateContent>
            </w:r>
            <w:r>
              <w:rPr>
                <w:rFonts w:hint="eastAsia"/>
                <w:sz w:val="12"/>
              </w:rPr>
              <w:t>－</w:t>
            </w:r>
            <w:r w:rsidR="001A3FAC">
              <w:rPr>
                <w:sz w:val="12"/>
              </w:rPr>
              <w:t>長期前受金戻入</w:t>
            </w:r>
          </w:p>
          <w:p w14:paraId="3D4EDD5B" w14:textId="74C2B59C" w:rsidR="00D30E86" w:rsidRDefault="001A3FAC">
            <w:pPr>
              <w:spacing w:after="0" w:line="259" w:lineRule="auto"/>
              <w:ind w:left="1061" w:firstLine="0"/>
            </w:pPr>
            <w:r>
              <w:rPr>
                <w:rFonts w:ascii="Calibri" w:eastAsia="Calibri" w:hAnsi="Calibri" w:cs="Calibri"/>
                <w:noProof/>
              </w:rPr>
              <mc:AlternateContent>
                <mc:Choice Requires="wpg">
                  <w:drawing>
                    <wp:inline distT="0" distB="0" distL="0" distR="0" wp14:anchorId="59058F68" wp14:editId="455B5D73">
                      <wp:extent cx="2317242" cy="7620"/>
                      <wp:effectExtent l="0" t="0" r="0" b="0"/>
                      <wp:docPr id="5976" name="Group 5976"/>
                      <wp:cNvGraphicFramePr/>
                      <a:graphic xmlns:a="http://schemas.openxmlformats.org/drawingml/2006/main">
                        <a:graphicData uri="http://schemas.microsoft.com/office/word/2010/wordprocessingGroup">
                          <wpg:wgp>
                            <wpg:cNvGrpSpPr/>
                            <wpg:grpSpPr>
                              <a:xfrm>
                                <a:off x="0" y="0"/>
                                <a:ext cx="2317242" cy="7620"/>
                                <a:chOff x="0" y="0"/>
                                <a:chExt cx="2317242" cy="7620"/>
                              </a:xfrm>
                            </wpg:grpSpPr>
                            <wps:wsp>
                              <wps:cNvPr id="7459" name="Shape 7459"/>
                              <wps:cNvSpPr/>
                              <wps:spPr>
                                <a:xfrm>
                                  <a:off x="0" y="0"/>
                                  <a:ext cx="2317242" cy="9144"/>
                                </a:xfrm>
                                <a:custGeom>
                                  <a:avLst/>
                                  <a:gdLst/>
                                  <a:ahLst/>
                                  <a:cxnLst/>
                                  <a:rect l="0" t="0" r="0" b="0"/>
                                  <a:pathLst>
                                    <a:path w="2317242" h="9144">
                                      <a:moveTo>
                                        <a:pt x="0" y="0"/>
                                      </a:moveTo>
                                      <a:lnTo>
                                        <a:pt x="2317242" y="0"/>
                                      </a:lnTo>
                                      <a:lnTo>
                                        <a:pt x="23172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76" style="width:182.46pt;height:0.600037pt;mso-position-horizontal-relative:char;mso-position-vertical-relative:line" coordsize="23172,76">
                      <v:shape id="Shape 7460" style="position:absolute;width:23172;height:91;left:0;top:0;" coordsize="2317242,9144" path="m0,0l2317242,0l2317242,9144l0,9144l0,0">
                        <v:stroke weight="0pt" endcap="flat" joinstyle="miter" miterlimit="10" on="false" color="#000000" opacity="0"/>
                        <v:fill on="true" color="#000000"/>
                      </v:shape>
                    </v:group>
                  </w:pict>
                </mc:Fallback>
              </mc:AlternateContent>
            </w:r>
            <w:r w:rsidR="00B20641">
              <w:rPr>
                <w:rFonts w:hint="eastAsia"/>
                <w:sz w:val="18"/>
              </w:rPr>
              <w:t xml:space="preserve">　　　　</w:t>
            </w:r>
            <w:r>
              <w:rPr>
                <w:rFonts w:ascii="Cambria" w:eastAsia="Cambria" w:hAnsi="Cambria" w:cs="Cambria"/>
                <w:sz w:val="18"/>
              </w:rPr>
              <w:t>100</w:t>
            </w:r>
            <w:r>
              <w:rPr>
                <w:sz w:val="21"/>
              </w:rPr>
              <w:t xml:space="preserve"> </w:t>
            </w:r>
          </w:p>
          <w:p w14:paraId="158EAE26" w14:textId="77777777" w:rsidR="00D30E86" w:rsidRDefault="001A3FAC">
            <w:pPr>
              <w:spacing w:after="0" w:line="259" w:lineRule="auto"/>
              <w:ind w:right="499" w:firstLine="0"/>
              <w:jc w:val="center"/>
            </w:pPr>
            <w:r>
              <w:rPr>
                <w:sz w:val="12"/>
              </w:rPr>
              <w:t>年間総有収水量（料金算定分）</w:t>
            </w:r>
          </w:p>
        </w:tc>
      </w:tr>
    </w:tbl>
    <w:p w14:paraId="42719D1F" w14:textId="77777777" w:rsidR="00D30E86" w:rsidRDefault="001A3FAC">
      <w:pPr>
        <w:spacing w:after="67" w:line="259" w:lineRule="auto"/>
        <w:ind w:left="-15" w:firstLine="0"/>
      </w:pPr>
      <w:r>
        <w:t>【指標の意味】</w:t>
      </w:r>
      <w:r>
        <w:rPr>
          <w:rFonts w:ascii="Century" w:eastAsia="Century" w:hAnsi="Century" w:cs="Century"/>
        </w:rPr>
        <w:t xml:space="preserve"> </w:t>
      </w:r>
    </w:p>
    <w:p w14:paraId="1BA578D1" w14:textId="77777777" w:rsidR="00D30E86" w:rsidRDefault="001A3FAC">
      <w:pPr>
        <w:spacing w:after="69" w:line="259" w:lineRule="auto"/>
        <w:ind w:left="220" w:firstLine="0"/>
      </w:pPr>
      <w:r>
        <w:t>有収水量１㎥当たりについて、どれだけの費用がかかっているかを表す指標である。</w:t>
      </w:r>
      <w:r>
        <w:rPr>
          <w:rFonts w:ascii="Century" w:eastAsia="Century" w:hAnsi="Century" w:cs="Century"/>
        </w:rPr>
        <w:t xml:space="preserve"> </w:t>
      </w:r>
    </w:p>
    <w:p w14:paraId="3618B980" w14:textId="77777777" w:rsidR="00D30E86" w:rsidRDefault="001A3FAC">
      <w:pPr>
        <w:spacing w:after="67" w:line="259" w:lineRule="auto"/>
        <w:ind w:left="-15" w:firstLine="0"/>
      </w:pPr>
      <w:r>
        <w:t>【分析の考え方】</w:t>
      </w:r>
      <w:r>
        <w:rPr>
          <w:rFonts w:ascii="Century" w:eastAsia="Century" w:hAnsi="Century" w:cs="Century"/>
        </w:rPr>
        <w:t xml:space="preserve"> </w:t>
      </w:r>
    </w:p>
    <w:p w14:paraId="6D913997" w14:textId="1C3A9FD4" w:rsidR="00D30E86" w:rsidRDefault="001A3FAC">
      <w:pPr>
        <w:ind w:left="-15"/>
      </w:pPr>
      <w:r>
        <w:t>当該指標については、明確な数値基準はないと考えられる。従って、経年比較や類似団体との比較等により自団体の置かれている状況を把握・分析し、適切な数値となっているか、対外的に説明できることが求められる。</w:t>
      </w:r>
      <w:r>
        <w:rPr>
          <w:rFonts w:ascii="Century" w:eastAsia="Century" w:hAnsi="Century" w:cs="Century"/>
        </w:rPr>
        <w:t xml:space="preserve"> </w:t>
      </w:r>
    </w:p>
    <w:p w14:paraId="775B4ABE" w14:textId="271A5D7E" w:rsidR="00D30E86" w:rsidRDefault="001A3FAC">
      <w:pPr>
        <w:ind w:left="-15"/>
      </w:pPr>
      <w:r>
        <w:t>分析に当たっての留意点として、例えば、当該指標が経営環境の類似した企業と比較して数値が高い場合は、一般的に、給水に係る費用が高く、効率的な経営が行われていないと考えられることから、費用抑制に向けた経営の見直しが必要である。</w:t>
      </w:r>
      <w:r>
        <w:rPr>
          <w:rFonts w:ascii="Century" w:eastAsia="Century" w:hAnsi="Century" w:cs="Century"/>
          <w:color w:val="FF0000"/>
        </w:rPr>
        <w:t xml:space="preserve"> </w:t>
      </w:r>
    </w:p>
    <w:p w14:paraId="044F42A7" w14:textId="055B450C" w:rsidR="00D30E86" w:rsidRDefault="001A3FAC">
      <w:pPr>
        <w:spacing w:after="0" w:line="259" w:lineRule="auto"/>
        <w:ind w:firstLine="0"/>
      </w:pPr>
      <w:r>
        <w:rPr>
          <w:rFonts w:ascii="Century" w:eastAsia="Century" w:hAnsi="Century" w:cs="Century"/>
          <w:sz w:val="21"/>
        </w:rPr>
        <w:t xml:space="preserve"> </w:t>
      </w:r>
    </w:p>
    <w:tbl>
      <w:tblPr>
        <w:tblStyle w:val="TableGrid"/>
        <w:tblW w:w="9037" w:type="dxa"/>
        <w:tblInd w:w="300" w:type="dxa"/>
        <w:tblCellMar>
          <w:top w:w="34" w:type="dxa"/>
          <w:left w:w="107" w:type="dxa"/>
          <w:right w:w="115" w:type="dxa"/>
        </w:tblCellMar>
        <w:tblLook w:val="04A0" w:firstRow="1" w:lastRow="0" w:firstColumn="1" w:lastColumn="0" w:noHBand="0" w:noVBand="1"/>
      </w:tblPr>
      <w:tblGrid>
        <w:gridCol w:w="2546"/>
        <w:gridCol w:w="6491"/>
      </w:tblGrid>
      <w:tr w:rsidR="00D30E86" w14:paraId="084CFB45" w14:textId="77777777">
        <w:trPr>
          <w:trHeight w:val="281"/>
        </w:trPr>
        <w:tc>
          <w:tcPr>
            <w:tcW w:w="2546" w:type="dxa"/>
            <w:tcBorders>
              <w:top w:val="single" w:sz="4" w:space="0" w:color="000000"/>
              <w:left w:val="single" w:sz="4" w:space="0" w:color="000000"/>
              <w:bottom w:val="single" w:sz="4" w:space="0" w:color="000000"/>
              <w:right w:val="single" w:sz="4" w:space="0" w:color="000000"/>
            </w:tcBorders>
            <w:shd w:val="clear" w:color="auto" w:fill="FDE9D9"/>
          </w:tcPr>
          <w:p w14:paraId="6FBCBC3C" w14:textId="77777777" w:rsidR="00D30E86" w:rsidRDefault="001A3FAC">
            <w:pPr>
              <w:spacing w:after="0" w:line="259" w:lineRule="auto"/>
              <w:ind w:firstLine="0"/>
            </w:pPr>
            <w:r>
              <w:rPr>
                <w:rFonts w:ascii="ＭＳ ゴシック" w:eastAsia="ＭＳ ゴシック" w:hAnsi="ＭＳ ゴシック" w:cs="ＭＳ ゴシック"/>
                <w:sz w:val="21"/>
              </w:rPr>
              <w:t xml:space="preserve"> </w:t>
            </w:r>
          </w:p>
        </w:tc>
        <w:tc>
          <w:tcPr>
            <w:tcW w:w="6491" w:type="dxa"/>
            <w:tcBorders>
              <w:top w:val="single" w:sz="4" w:space="0" w:color="000000"/>
              <w:left w:val="single" w:sz="4" w:space="0" w:color="000000"/>
              <w:bottom w:val="single" w:sz="4" w:space="0" w:color="000000"/>
              <w:right w:val="single" w:sz="4" w:space="0" w:color="000000"/>
            </w:tcBorders>
            <w:shd w:val="clear" w:color="auto" w:fill="FDE9D9"/>
          </w:tcPr>
          <w:p w14:paraId="368E3326" w14:textId="7CA760F9" w:rsidR="00D30E86" w:rsidRDefault="001A3FAC">
            <w:pPr>
              <w:spacing w:after="0" w:line="259" w:lineRule="auto"/>
              <w:ind w:left="8" w:firstLine="0"/>
              <w:jc w:val="center"/>
            </w:pPr>
            <w:r>
              <w:rPr>
                <w:rFonts w:ascii="ＭＳ ゴシック" w:eastAsia="ＭＳ ゴシック" w:hAnsi="ＭＳ ゴシック" w:cs="ＭＳ ゴシック"/>
                <w:sz w:val="21"/>
              </w:rPr>
              <w:t xml:space="preserve">算出式 </w:t>
            </w:r>
          </w:p>
        </w:tc>
      </w:tr>
      <w:tr w:rsidR="00D30E86" w14:paraId="74DA6F46" w14:textId="77777777">
        <w:trPr>
          <w:trHeight w:val="563"/>
        </w:trPr>
        <w:tc>
          <w:tcPr>
            <w:tcW w:w="2546"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0C503DF7" w14:textId="77777777" w:rsidR="00D30E86" w:rsidRDefault="001A3FAC">
            <w:pPr>
              <w:spacing w:after="0" w:line="259" w:lineRule="auto"/>
              <w:ind w:left="221" w:firstLine="0"/>
            </w:pPr>
            <w:r>
              <w:rPr>
                <w:rFonts w:ascii="ＭＳ ゴシック" w:eastAsia="ＭＳ ゴシック" w:hAnsi="ＭＳ ゴシック" w:cs="ＭＳ ゴシック"/>
                <w:sz w:val="21"/>
              </w:rPr>
              <w:t xml:space="preserve">⑦施設利用率（％） </w:t>
            </w:r>
          </w:p>
        </w:tc>
        <w:tc>
          <w:tcPr>
            <w:tcW w:w="6491" w:type="dxa"/>
            <w:tcBorders>
              <w:top w:val="single" w:sz="4" w:space="0" w:color="000000"/>
              <w:left w:val="single" w:sz="4" w:space="0" w:color="000000"/>
              <w:bottom w:val="single" w:sz="4" w:space="0" w:color="000000"/>
              <w:right w:val="single" w:sz="4" w:space="0" w:color="000000"/>
            </w:tcBorders>
          </w:tcPr>
          <w:p w14:paraId="7D65F389" w14:textId="1012568B" w:rsidR="00D30E86" w:rsidRDefault="00B20641">
            <w:pPr>
              <w:spacing w:after="0" w:line="259" w:lineRule="auto"/>
              <w:ind w:right="497" w:firstLine="0"/>
              <w:jc w:val="center"/>
            </w:pPr>
            <w:r>
              <w:rPr>
                <w:noProof/>
                <w:sz w:val="28"/>
              </w:rPr>
              <mc:AlternateContent>
                <mc:Choice Requires="wps">
                  <w:drawing>
                    <wp:anchor distT="0" distB="0" distL="114300" distR="114300" simplePos="0" relativeHeight="251671552" behindDoc="0" locked="0" layoutInCell="1" allowOverlap="1" wp14:anchorId="5EBE4231" wp14:editId="37C26C47">
                      <wp:simplePos x="0" y="0"/>
                      <wp:positionH relativeFrom="column">
                        <wp:posOffset>2455545</wp:posOffset>
                      </wp:positionH>
                      <wp:positionV relativeFrom="paragraph">
                        <wp:posOffset>152400</wp:posOffset>
                      </wp:positionV>
                      <wp:extent cx="590550" cy="285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90550" cy="285750"/>
                              </a:xfrm>
                              <a:prstGeom prst="rect">
                                <a:avLst/>
                              </a:prstGeom>
                              <a:noFill/>
                              <a:ln w="6350">
                                <a:noFill/>
                              </a:ln>
                            </wps:spPr>
                            <wps:txbx>
                              <w:txbxContent>
                                <w:p w14:paraId="2CE12F0C" w14:textId="77777777" w:rsidR="00B20641" w:rsidRPr="00B20641" w:rsidRDefault="00B20641" w:rsidP="00B20641">
                                  <w:pPr>
                                    <w:rPr>
                                      <w:sz w:val="18"/>
                                      <w:szCs w:val="18"/>
                                    </w:rPr>
                                  </w:pPr>
                                  <w:r w:rsidRPr="00B20641">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BE4231" id="テキスト ボックス 7" o:spid="_x0000_s1032" type="#_x0000_t202" style="position:absolute;left:0;text-align:left;margin-left:193.35pt;margin-top:12pt;width:46.5pt;height: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" filled="f" stroked="f" strokeweight=".5pt">
                      <v:textbox>
                        <w:txbxContent>
                          <w:p w14:paraId="2CE12F0C" w14:textId="77777777" w:rsidR="00B20641" w:rsidRPr="00B20641" w:rsidRDefault="00B20641" w:rsidP="00B20641">
                            <w:pPr>
                              <w:rPr>
                                <w:sz w:val="18"/>
                                <w:szCs w:val="18"/>
                              </w:rPr>
                            </w:pPr>
                            <w:r w:rsidRPr="00B20641">
                              <w:rPr>
                                <w:rFonts w:hint="eastAsia"/>
                                <w:sz w:val="18"/>
                                <w:szCs w:val="18"/>
                              </w:rPr>
                              <w:t>×</w:t>
                            </w:r>
                          </w:p>
                        </w:txbxContent>
                      </v:textbox>
                    </v:shape>
                  </w:pict>
                </mc:Fallback>
              </mc:AlternateContent>
            </w:r>
            <w:r w:rsidR="001A3FAC">
              <w:rPr>
                <w:sz w:val="18"/>
              </w:rPr>
              <w:t>一日平均配水量</w:t>
            </w:r>
          </w:p>
          <w:p w14:paraId="4B3CC18F" w14:textId="33463C59" w:rsidR="00D30E86" w:rsidRDefault="001A3FAC">
            <w:pPr>
              <w:spacing w:after="0" w:line="259" w:lineRule="auto"/>
              <w:ind w:left="2346" w:right="1060" w:hanging="90"/>
            </w:pPr>
            <w:r>
              <w:rPr>
                <w:rFonts w:ascii="Calibri" w:eastAsia="Calibri" w:hAnsi="Calibri" w:cs="Calibri"/>
                <w:noProof/>
              </w:rPr>
              <mc:AlternateContent>
                <mc:Choice Requires="wpg">
                  <w:drawing>
                    <wp:inline distT="0" distB="0" distL="0" distR="0" wp14:anchorId="5D1CE85B" wp14:editId="390AD442">
                      <wp:extent cx="800100" cy="7620"/>
                      <wp:effectExtent l="0" t="0" r="0" b="0"/>
                      <wp:docPr id="6474" name="Group 6474"/>
                      <wp:cNvGraphicFramePr/>
                      <a:graphic xmlns:a="http://schemas.openxmlformats.org/drawingml/2006/main">
                        <a:graphicData uri="http://schemas.microsoft.com/office/word/2010/wordprocessingGroup">
                          <wpg:wgp>
                            <wpg:cNvGrpSpPr/>
                            <wpg:grpSpPr>
                              <a:xfrm>
                                <a:off x="0" y="0"/>
                                <a:ext cx="800100" cy="7620"/>
                                <a:chOff x="0" y="0"/>
                                <a:chExt cx="800100" cy="7620"/>
                              </a:xfrm>
                            </wpg:grpSpPr>
                            <wps:wsp>
                              <wps:cNvPr id="7461" name="Shape 7461"/>
                              <wps:cNvSpPr/>
                              <wps:spPr>
                                <a:xfrm>
                                  <a:off x="0" y="0"/>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74" style="width:63pt;height:0.599976pt;mso-position-horizontal-relative:char;mso-position-vertical-relative:line" coordsize="8001,76">
                      <v:shape id="Shape 7462" style="position:absolute;width:8001;height:91;left:0;top:0;" coordsize="800100,9144" path="m0,0l800100,0l800100,9144l0,9144l0,0">
                        <v:stroke weight="0pt" endcap="flat" joinstyle="miter" miterlimit="10" on="false" color="#000000" opacity="0"/>
                        <v:fill on="true" color="#000000"/>
                      </v:shape>
                    </v:group>
                  </w:pict>
                </mc:Fallback>
              </mc:AlternateContent>
            </w:r>
            <w:r w:rsidR="00B20641">
              <w:rPr>
                <w:rFonts w:hint="eastAsia"/>
                <w:sz w:val="18"/>
              </w:rPr>
              <w:t xml:space="preserve">　　　　　　　</w:t>
            </w:r>
            <w:r>
              <w:rPr>
                <w:rFonts w:ascii="Cambria" w:eastAsia="Cambria" w:hAnsi="Cambria" w:cs="Cambria"/>
                <w:sz w:val="18"/>
              </w:rPr>
              <w:t>100</w:t>
            </w:r>
            <w:r>
              <w:rPr>
                <w:sz w:val="21"/>
              </w:rPr>
              <w:t xml:space="preserve"> </w:t>
            </w:r>
            <w:r>
              <w:rPr>
                <w:sz w:val="18"/>
              </w:rPr>
              <w:t>一日配水能力</w:t>
            </w:r>
          </w:p>
        </w:tc>
      </w:tr>
    </w:tbl>
    <w:p w14:paraId="7AEBD8F2" w14:textId="77777777" w:rsidR="00D30E86" w:rsidRDefault="001A3FAC">
      <w:pPr>
        <w:spacing w:after="67" w:line="259" w:lineRule="auto"/>
        <w:ind w:left="-15" w:firstLine="0"/>
      </w:pPr>
      <w:r>
        <w:t>【指標の意味】</w:t>
      </w:r>
      <w:r>
        <w:rPr>
          <w:rFonts w:ascii="Century" w:eastAsia="Century" w:hAnsi="Century" w:cs="Century"/>
        </w:rPr>
        <w:t xml:space="preserve"> </w:t>
      </w:r>
    </w:p>
    <w:p w14:paraId="44EEBA51" w14:textId="77777777" w:rsidR="00D30E86" w:rsidRDefault="001A3FAC">
      <w:pPr>
        <w:ind w:left="-15"/>
      </w:pPr>
      <w:r>
        <w:t>一日配水能力に対する一日平均配水量の割合であり、施設の利用状況や適正規模を判断する指標である。</w:t>
      </w:r>
      <w:r>
        <w:rPr>
          <w:rFonts w:ascii="Century" w:eastAsia="Century" w:hAnsi="Century" w:cs="Century"/>
        </w:rPr>
        <w:t xml:space="preserve"> </w:t>
      </w:r>
    </w:p>
    <w:p w14:paraId="156E9FC0" w14:textId="526D353A" w:rsidR="00D30E86" w:rsidRDefault="001A3FAC">
      <w:pPr>
        <w:spacing w:after="67" w:line="259" w:lineRule="auto"/>
        <w:ind w:left="-15" w:firstLine="0"/>
      </w:pPr>
      <w:r>
        <w:t>【分析の考え方】</w:t>
      </w:r>
      <w:r>
        <w:rPr>
          <w:rFonts w:ascii="Century" w:eastAsia="Century" w:hAnsi="Century" w:cs="Century"/>
        </w:rPr>
        <w:t xml:space="preserve"> </w:t>
      </w:r>
    </w:p>
    <w:p w14:paraId="4FF358EC" w14:textId="7768A635" w:rsidR="00D30E86" w:rsidRDefault="001A3FAC">
      <w:pPr>
        <w:ind w:left="-15"/>
      </w:pPr>
      <w:r>
        <w:t>当該指標については、明確な数値基準はないと考えられるが、一般的には高い数値であることが望まれる。経年比較や類似団体との比較等により自団体の置かれている状況を把握し、数値が低い場合には、施設が遊休状態ではないかといった分析が必要であり、今後も一日平均配水量の増加が望めない場合には施設規模の見直しを検討する必要がある。</w:t>
      </w:r>
      <w:r>
        <w:rPr>
          <w:rFonts w:ascii="Century" w:eastAsia="Century" w:hAnsi="Century" w:cs="Century"/>
        </w:rPr>
        <w:t xml:space="preserve"> </w:t>
      </w:r>
    </w:p>
    <w:p w14:paraId="45A73D36" w14:textId="77777777" w:rsidR="00D30E86" w:rsidRDefault="001A3FAC">
      <w:pPr>
        <w:spacing w:after="0" w:line="259" w:lineRule="auto"/>
        <w:ind w:firstLine="0"/>
      </w:pPr>
      <w:r>
        <w:rPr>
          <w:rFonts w:ascii="Century" w:eastAsia="Century" w:hAnsi="Century" w:cs="Century"/>
          <w:sz w:val="21"/>
        </w:rPr>
        <w:t xml:space="preserve"> </w:t>
      </w:r>
    </w:p>
    <w:tbl>
      <w:tblPr>
        <w:tblStyle w:val="TableGrid"/>
        <w:tblW w:w="9037" w:type="dxa"/>
        <w:tblInd w:w="300" w:type="dxa"/>
        <w:tblCellMar>
          <w:top w:w="35" w:type="dxa"/>
          <w:left w:w="107" w:type="dxa"/>
          <w:right w:w="115" w:type="dxa"/>
        </w:tblCellMar>
        <w:tblLook w:val="04A0" w:firstRow="1" w:lastRow="0" w:firstColumn="1" w:lastColumn="0" w:noHBand="0" w:noVBand="1"/>
      </w:tblPr>
      <w:tblGrid>
        <w:gridCol w:w="2546"/>
        <w:gridCol w:w="6491"/>
      </w:tblGrid>
      <w:tr w:rsidR="00D30E86" w14:paraId="42060660" w14:textId="77777777">
        <w:trPr>
          <w:trHeight w:val="281"/>
        </w:trPr>
        <w:tc>
          <w:tcPr>
            <w:tcW w:w="2546" w:type="dxa"/>
            <w:tcBorders>
              <w:top w:val="single" w:sz="4" w:space="0" w:color="000000"/>
              <w:left w:val="single" w:sz="4" w:space="0" w:color="000000"/>
              <w:bottom w:val="single" w:sz="4" w:space="0" w:color="000000"/>
              <w:right w:val="single" w:sz="4" w:space="0" w:color="000000"/>
            </w:tcBorders>
            <w:shd w:val="clear" w:color="auto" w:fill="FDE9D9"/>
          </w:tcPr>
          <w:p w14:paraId="3BE4148A" w14:textId="77777777" w:rsidR="00D30E86" w:rsidRDefault="001A3FAC">
            <w:pPr>
              <w:spacing w:after="0" w:line="259" w:lineRule="auto"/>
              <w:ind w:firstLine="0"/>
            </w:pPr>
            <w:r>
              <w:rPr>
                <w:rFonts w:ascii="ＭＳ ゴシック" w:eastAsia="ＭＳ ゴシック" w:hAnsi="ＭＳ ゴシック" w:cs="ＭＳ ゴシック"/>
                <w:sz w:val="21"/>
              </w:rPr>
              <w:t xml:space="preserve"> </w:t>
            </w:r>
          </w:p>
        </w:tc>
        <w:tc>
          <w:tcPr>
            <w:tcW w:w="6491" w:type="dxa"/>
            <w:tcBorders>
              <w:top w:val="single" w:sz="4" w:space="0" w:color="000000"/>
              <w:left w:val="single" w:sz="4" w:space="0" w:color="000000"/>
              <w:bottom w:val="single" w:sz="4" w:space="0" w:color="000000"/>
              <w:right w:val="single" w:sz="4" w:space="0" w:color="000000"/>
            </w:tcBorders>
            <w:shd w:val="clear" w:color="auto" w:fill="FDE9D9"/>
          </w:tcPr>
          <w:p w14:paraId="37F4B665" w14:textId="1DCF904A" w:rsidR="00D30E86" w:rsidRDefault="001A3FAC">
            <w:pPr>
              <w:spacing w:after="0" w:line="259" w:lineRule="auto"/>
              <w:ind w:left="8" w:firstLine="0"/>
              <w:jc w:val="center"/>
            </w:pPr>
            <w:r>
              <w:rPr>
                <w:rFonts w:ascii="ＭＳ ゴシック" w:eastAsia="ＭＳ ゴシック" w:hAnsi="ＭＳ ゴシック" w:cs="ＭＳ ゴシック"/>
                <w:sz w:val="21"/>
              </w:rPr>
              <w:t xml:space="preserve">算出式 </w:t>
            </w:r>
          </w:p>
        </w:tc>
      </w:tr>
      <w:tr w:rsidR="00D30E86" w14:paraId="59FA6178" w14:textId="77777777">
        <w:trPr>
          <w:trHeight w:val="563"/>
        </w:trPr>
        <w:tc>
          <w:tcPr>
            <w:tcW w:w="2546"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7C2F67DD" w14:textId="77777777" w:rsidR="00D30E86" w:rsidRDefault="001A3FAC">
            <w:pPr>
              <w:spacing w:after="0" w:line="259" w:lineRule="auto"/>
              <w:ind w:left="7" w:firstLine="0"/>
              <w:jc w:val="center"/>
            </w:pPr>
            <w:r>
              <w:rPr>
                <w:rFonts w:ascii="ＭＳ ゴシック" w:eastAsia="ＭＳ ゴシック" w:hAnsi="ＭＳ ゴシック" w:cs="ＭＳ ゴシック"/>
                <w:sz w:val="21"/>
              </w:rPr>
              <w:t xml:space="preserve">⑧契約率（％） </w:t>
            </w:r>
          </w:p>
        </w:tc>
        <w:tc>
          <w:tcPr>
            <w:tcW w:w="6491" w:type="dxa"/>
            <w:tcBorders>
              <w:top w:val="single" w:sz="4" w:space="0" w:color="000000"/>
              <w:left w:val="single" w:sz="4" w:space="0" w:color="000000"/>
              <w:bottom w:val="single" w:sz="4" w:space="0" w:color="000000"/>
              <w:right w:val="single" w:sz="4" w:space="0" w:color="000000"/>
            </w:tcBorders>
          </w:tcPr>
          <w:p w14:paraId="41B08511" w14:textId="429FC9E3" w:rsidR="00D30E86" w:rsidRDefault="00B20641">
            <w:pPr>
              <w:spacing w:after="0" w:line="259" w:lineRule="auto"/>
              <w:ind w:right="497" w:firstLine="0"/>
              <w:jc w:val="center"/>
            </w:pPr>
            <w:r>
              <w:rPr>
                <w:noProof/>
                <w:sz w:val="28"/>
              </w:rPr>
              <mc:AlternateContent>
                <mc:Choice Requires="wps">
                  <w:drawing>
                    <wp:anchor distT="0" distB="0" distL="114300" distR="114300" simplePos="0" relativeHeight="251673600" behindDoc="0" locked="0" layoutInCell="1" allowOverlap="1" wp14:anchorId="77283C9B" wp14:editId="1C84A84D">
                      <wp:simplePos x="0" y="0"/>
                      <wp:positionH relativeFrom="column">
                        <wp:posOffset>2388870</wp:posOffset>
                      </wp:positionH>
                      <wp:positionV relativeFrom="paragraph">
                        <wp:posOffset>168910</wp:posOffset>
                      </wp:positionV>
                      <wp:extent cx="590550" cy="2857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90550" cy="285750"/>
                              </a:xfrm>
                              <a:prstGeom prst="rect">
                                <a:avLst/>
                              </a:prstGeom>
                              <a:noFill/>
                              <a:ln w="6350">
                                <a:noFill/>
                              </a:ln>
                            </wps:spPr>
                            <wps:txbx>
                              <w:txbxContent>
                                <w:p w14:paraId="298798C5" w14:textId="77777777" w:rsidR="00B20641" w:rsidRPr="00B20641" w:rsidRDefault="00B20641" w:rsidP="00B20641">
                                  <w:pPr>
                                    <w:rPr>
                                      <w:sz w:val="18"/>
                                      <w:szCs w:val="18"/>
                                    </w:rPr>
                                  </w:pPr>
                                  <w:r w:rsidRPr="00B20641">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283C9B" id="テキスト ボックス 8" o:spid="_x0000_s1033" type="#_x0000_t202" style="position:absolute;left:0;text-align:left;margin-left:188.1pt;margin-top:13.3pt;width:46.5pt;height: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" filled="f" stroked="f" strokeweight=".5pt">
                      <v:textbox>
                        <w:txbxContent>
                          <w:p w14:paraId="298798C5" w14:textId="77777777" w:rsidR="00B20641" w:rsidRPr="00B20641" w:rsidRDefault="00B20641" w:rsidP="00B20641">
                            <w:pPr>
                              <w:rPr>
                                <w:sz w:val="18"/>
                                <w:szCs w:val="18"/>
                              </w:rPr>
                            </w:pPr>
                            <w:r w:rsidRPr="00B20641">
                              <w:rPr>
                                <w:rFonts w:hint="eastAsia"/>
                                <w:sz w:val="18"/>
                                <w:szCs w:val="18"/>
                              </w:rPr>
                              <w:t>×</w:t>
                            </w:r>
                          </w:p>
                        </w:txbxContent>
                      </v:textbox>
                    </v:shape>
                  </w:pict>
                </mc:Fallback>
              </mc:AlternateContent>
            </w:r>
            <w:r w:rsidR="001A3FAC">
              <w:rPr>
                <w:sz w:val="18"/>
              </w:rPr>
              <w:t>契約水量</w:t>
            </w:r>
          </w:p>
          <w:p w14:paraId="2BEDB9B7" w14:textId="25C8F5BA" w:rsidR="00D30E86" w:rsidRDefault="001A3FAC">
            <w:pPr>
              <w:spacing w:after="0" w:line="259" w:lineRule="auto"/>
              <w:ind w:left="2346" w:right="1150" w:firstLine="0"/>
            </w:pPr>
            <w:r>
              <w:rPr>
                <w:rFonts w:ascii="Calibri" w:eastAsia="Calibri" w:hAnsi="Calibri" w:cs="Calibri"/>
                <w:noProof/>
              </w:rPr>
              <mc:AlternateContent>
                <mc:Choice Requires="wpg">
                  <w:drawing>
                    <wp:inline distT="0" distB="0" distL="0" distR="0" wp14:anchorId="6F7DC2B6" wp14:editId="46A3BF0C">
                      <wp:extent cx="685800" cy="7620"/>
                      <wp:effectExtent l="0" t="0" r="0" b="0"/>
                      <wp:docPr id="6304" name="Group 6304"/>
                      <wp:cNvGraphicFramePr/>
                      <a:graphic xmlns:a="http://schemas.openxmlformats.org/drawingml/2006/main">
                        <a:graphicData uri="http://schemas.microsoft.com/office/word/2010/wordprocessingGroup">
                          <wpg:wgp>
                            <wpg:cNvGrpSpPr/>
                            <wpg:grpSpPr>
                              <a:xfrm>
                                <a:off x="0" y="0"/>
                                <a:ext cx="685800" cy="7620"/>
                                <a:chOff x="0" y="0"/>
                                <a:chExt cx="685800" cy="7620"/>
                              </a:xfrm>
                            </wpg:grpSpPr>
                            <wps:wsp>
                              <wps:cNvPr id="7463" name="Shape 7463"/>
                              <wps:cNvSpPr/>
                              <wps:spPr>
                                <a:xfrm>
                                  <a:off x="0" y="0"/>
                                  <a:ext cx="685800" cy="9144"/>
                                </a:xfrm>
                                <a:custGeom>
                                  <a:avLst/>
                                  <a:gdLst/>
                                  <a:ahLst/>
                                  <a:cxnLst/>
                                  <a:rect l="0" t="0" r="0" b="0"/>
                                  <a:pathLst>
                                    <a:path w="685800" h="9144">
                                      <a:moveTo>
                                        <a:pt x="0" y="0"/>
                                      </a:moveTo>
                                      <a:lnTo>
                                        <a:pt x="685800" y="0"/>
                                      </a:lnTo>
                                      <a:lnTo>
                                        <a:pt x="685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04" style="width:54pt;height:0.600037pt;mso-position-horizontal-relative:char;mso-position-vertical-relative:line" coordsize="6858,76">
                      <v:shape id="Shape 7464" style="position:absolute;width:6858;height:91;left:0;top:0;" coordsize="685800,9144" path="m0,0l685800,0l685800,9144l0,9144l0,0">
                        <v:stroke weight="0pt" endcap="flat" joinstyle="miter" miterlimit="10" on="false" color="#000000" opacity="0"/>
                        <v:fill on="true" color="#000000"/>
                      </v:shape>
                    </v:group>
                  </w:pict>
                </mc:Fallback>
              </mc:AlternateContent>
            </w:r>
            <w:r w:rsidR="00B20641">
              <w:rPr>
                <w:rFonts w:hint="eastAsia"/>
                <w:sz w:val="18"/>
              </w:rPr>
              <w:t xml:space="preserve">　　　　　　　</w:t>
            </w:r>
            <w:r>
              <w:rPr>
                <w:rFonts w:ascii="Cambria" w:eastAsia="Cambria" w:hAnsi="Cambria" w:cs="Cambria"/>
                <w:sz w:val="18"/>
              </w:rPr>
              <w:t>100</w:t>
            </w:r>
            <w:r>
              <w:rPr>
                <w:sz w:val="21"/>
              </w:rPr>
              <w:t xml:space="preserve"> </w:t>
            </w:r>
            <w:r>
              <w:rPr>
                <w:sz w:val="18"/>
              </w:rPr>
              <w:t>一日配水能力</w:t>
            </w:r>
          </w:p>
        </w:tc>
      </w:tr>
    </w:tbl>
    <w:p w14:paraId="757A1713" w14:textId="77777777" w:rsidR="00D30E86" w:rsidRDefault="001A3FAC">
      <w:pPr>
        <w:spacing w:after="68" w:line="259" w:lineRule="auto"/>
        <w:ind w:left="-15" w:firstLine="0"/>
      </w:pPr>
      <w:r>
        <w:t>【指標の意味】</w:t>
      </w:r>
      <w:r>
        <w:rPr>
          <w:rFonts w:ascii="Century" w:eastAsia="Century" w:hAnsi="Century" w:cs="Century"/>
        </w:rPr>
        <w:t xml:space="preserve"> </w:t>
      </w:r>
    </w:p>
    <w:p w14:paraId="67D435FA" w14:textId="77777777" w:rsidR="00D30E86" w:rsidRDefault="001A3FAC">
      <w:pPr>
        <w:spacing w:after="69" w:line="259" w:lineRule="auto"/>
        <w:ind w:left="220" w:firstLine="0"/>
      </w:pPr>
      <w:r>
        <w:t>収益性及び未売水の状況を判断する指標である。</w:t>
      </w:r>
      <w:r>
        <w:rPr>
          <w:rFonts w:ascii="Century" w:eastAsia="Century" w:hAnsi="Century" w:cs="Century"/>
        </w:rPr>
        <w:t xml:space="preserve"> </w:t>
      </w:r>
    </w:p>
    <w:p w14:paraId="53279E3F" w14:textId="77777777" w:rsidR="00D30E86" w:rsidRDefault="001A3FAC">
      <w:pPr>
        <w:spacing w:after="68" w:line="259" w:lineRule="auto"/>
        <w:ind w:left="-15" w:firstLine="0"/>
      </w:pPr>
      <w:r>
        <w:lastRenderedPageBreak/>
        <w:t>【分析の考え方】</w:t>
      </w:r>
      <w:r>
        <w:rPr>
          <w:rFonts w:ascii="Century" w:eastAsia="Century" w:hAnsi="Century" w:cs="Century"/>
        </w:rPr>
        <w:t xml:space="preserve"> </w:t>
      </w:r>
    </w:p>
    <w:p w14:paraId="31EEBC57" w14:textId="77777777" w:rsidR="00D30E86" w:rsidRDefault="001A3FAC">
      <w:pPr>
        <w:ind w:left="-15"/>
      </w:pPr>
      <w:r>
        <w:t>当該指標は、</w:t>
      </w:r>
      <w:r>
        <w:rPr>
          <w:rFonts w:ascii="Century" w:eastAsia="Century" w:hAnsi="Century" w:cs="Century"/>
        </w:rPr>
        <w:t>100</w:t>
      </w:r>
      <w:r>
        <w:t>％に近ければ近いほど収益性が高く、適切な規模の投資ができているといえる。また、未契約部分は未売を表す。</w:t>
      </w:r>
      <w:r>
        <w:rPr>
          <w:rFonts w:ascii="Century" w:eastAsia="Century" w:hAnsi="Century" w:cs="Century"/>
        </w:rPr>
        <w:t xml:space="preserve"> </w:t>
      </w:r>
    </w:p>
    <w:p w14:paraId="2EBC2D33" w14:textId="77777777" w:rsidR="00D30E86" w:rsidRDefault="001A3FAC">
      <w:pPr>
        <w:spacing w:line="309" w:lineRule="auto"/>
        <w:ind w:firstLine="55"/>
        <w:jc w:val="center"/>
      </w:pPr>
      <w:r>
        <w:t xml:space="preserve">工業用水道事業の場合、実使用水量が契約水量に比較して少ない場合でも減額されない「責任水量制」を採用している団体がほとんどであり、契約水量の増加が給水収益の増加となる場合が多い。そのため、契約率が低く、料金回収率が </w:t>
      </w:r>
      <w:r>
        <w:rPr>
          <w:rFonts w:ascii="Century" w:eastAsia="Century" w:hAnsi="Century" w:cs="Century"/>
        </w:rPr>
        <w:t>100</w:t>
      </w:r>
      <w:r>
        <w:t>％を下回っている場合には、契約水量を増やすことが肝要であり、今後も契約水量の増加が望めない場合には施設規模の見直しを検討する必要がある。</w:t>
      </w:r>
      <w:r>
        <w:rPr>
          <w:rFonts w:ascii="Century" w:eastAsia="Century" w:hAnsi="Century" w:cs="Century"/>
        </w:rPr>
        <w:t xml:space="preserve"> </w:t>
      </w:r>
    </w:p>
    <w:p w14:paraId="041EBDF8" w14:textId="77777777" w:rsidR="00D30E86" w:rsidRDefault="001A3FAC">
      <w:pPr>
        <w:spacing w:after="76" w:line="259" w:lineRule="auto"/>
        <w:ind w:firstLine="0"/>
      </w:pPr>
      <w:r>
        <w:rPr>
          <w:rFonts w:ascii="ＭＳ ゴシック" w:eastAsia="ＭＳ ゴシック" w:hAnsi="ＭＳ ゴシック" w:cs="ＭＳ ゴシック"/>
          <w:sz w:val="21"/>
        </w:rPr>
        <w:t xml:space="preserve"> </w:t>
      </w:r>
    </w:p>
    <w:p w14:paraId="2A6A8EAA" w14:textId="77777777" w:rsidR="00D30E86" w:rsidRDefault="001A3FAC">
      <w:pPr>
        <w:spacing w:after="23" w:line="259" w:lineRule="auto"/>
        <w:ind w:firstLine="0"/>
      </w:pPr>
      <w:r>
        <w:rPr>
          <w:rFonts w:ascii="ＭＳ ゴシック" w:eastAsia="ＭＳ ゴシック" w:hAnsi="ＭＳ ゴシック" w:cs="ＭＳ ゴシック"/>
          <w:sz w:val="24"/>
        </w:rPr>
        <w:t xml:space="preserve"> </w:t>
      </w:r>
    </w:p>
    <w:p w14:paraId="54EFD2BE" w14:textId="735E19A3" w:rsidR="00D30E86" w:rsidRDefault="001A3FAC">
      <w:pPr>
        <w:spacing w:after="23" w:line="259" w:lineRule="auto"/>
        <w:ind w:firstLine="0"/>
      </w:pPr>
      <w:r>
        <w:rPr>
          <w:rFonts w:ascii="ＭＳ ゴシック" w:eastAsia="ＭＳ ゴシック" w:hAnsi="ＭＳ ゴシック" w:cs="ＭＳ ゴシック"/>
          <w:sz w:val="24"/>
        </w:rPr>
        <w:t xml:space="preserve"> </w:t>
      </w:r>
    </w:p>
    <w:p w14:paraId="0F74ABB4" w14:textId="27E7CCC7" w:rsidR="00D30E86" w:rsidRDefault="001A3FAC">
      <w:pPr>
        <w:spacing w:after="23" w:line="259" w:lineRule="auto"/>
        <w:ind w:firstLine="0"/>
      </w:pPr>
      <w:r>
        <w:rPr>
          <w:rFonts w:ascii="ＭＳ ゴシック" w:eastAsia="ＭＳ ゴシック" w:hAnsi="ＭＳ ゴシック" w:cs="ＭＳ ゴシック"/>
          <w:sz w:val="24"/>
        </w:rPr>
        <w:t xml:space="preserve"> </w:t>
      </w:r>
    </w:p>
    <w:p w14:paraId="09EBC25B" w14:textId="77777777" w:rsidR="00D30E86" w:rsidRDefault="001A3FAC">
      <w:pPr>
        <w:spacing w:after="0" w:line="259" w:lineRule="auto"/>
        <w:ind w:firstLine="0"/>
      </w:pPr>
      <w:r>
        <w:rPr>
          <w:rFonts w:ascii="ＭＳ ゴシック" w:eastAsia="ＭＳ ゴシック" w:hAnsi="ＭＳ ゴシック" w:cs="ＭＳ ゴシック"/>
          <w:sz w:val="24"/>
        </w:rPr>
        <w:t xml:space="preserve"> </w:t>
      </w:r>
    </w:p>
    <w:p w14:paraId="348BC5BF" w14:textId="2D58DE10" w:rsidR="00D30E86" w:rsidRDefault="001A3FAC">
      <w:pPr>
        <w:pStyle w:val="1"/>
        <w:ind w:left="345" w:hanging="360"/>
      </w:pPr>
      <w:r>
        <w:t xml:space="preserve">老朽化の状況 </w:t>
      </w:r>
    </w:p>
    <w:tbl>
      <w:tblPr>
        <w:tblStyle w:val="TableGrid"/>
        <w:tblW w:w="9037" w:type="dxa"/>
        <w:tblInd w:w="300" w:type="dxa"/>
        <w:tblCellMar>
          <w:top w:w="34" w:type="dxa"/>
          <w:left w:w="107" w:type="dxa"/>
          <w:right w:w="161" w:type="dxa"/>
        </w:tblCellMar>
        <w:tblLook w:val="04A0" w:firstRow="1" w:lastRow="0" w:firstColumn="1" w:lastColumn="0" w:noHBand="0" w:noVBand="1"/>
      </w:tblPr>
      <w:tblGrid>
        <w:gridCol w:w="2841"/>
        <w:gridCol w:w="6196"/>
      </w:tblGrid>
      <w:tr w:rsidR="00D30E86" w14:paraId="09D13928" w14:textId="77777777">
        <w:trPr>
          <w:trHeight w:val="281"/>
        </w:trPr>
        <w:tc>
          <w:tcPr>
            <w:tcW w:w="2841" w:type="dxa"/>
            <w:tcBorders>
              <w:top w:val="single" w:sz="4" w:space="0" w:color="000000"/>
              <w:left w:val="single" w:sz="4" w:space="0" w:color="000000"/>
              <w:bottom w:val="single" w:sz="4" w:space="0" w:color="000000"/>
              <w:right w:val="single" w:sz="4" w:space="0" w:color="000000"/>
            </w:tcBorders>
            <w:shd w:val="clear" w:color="auto" w:fill="FDE9D9"/>
          </w:tcPr>
          <w:p w14:paraId="712DFC10" w14:textId="77777777" w:rsidR="00D30E86" w:rsidRDefault="001A3FAC">
            <w:pPr>
              <w:spacing w:after="0" w:line="259" w:lineRule="auto"/>
              <w:ind w:firstLine="0"/>
            </w:pPr>
            <w:r>
              <w:rPr>
                <w:rFonts w:ascii="ＭＳ ゴシック" w:eastAsia="ＭＳ ゴシック" w:hAnsi="ＭＳ ゴシック" w:cs="ＭＳ ゴシック"/>
                <w:sz w:val="21"/>
              </w:rPr>
              <w:t xml:space="preserve"> </w:t>
            </w:r>
          </w:p>
        </w:tc>
        <w:tc>
          <w:tcPr>
            <w:tcW w:w="6196" w:type="dxa"/>
            <w:tcBorders>
              <w:top w:val="single" w:sz="4" w:space="0" w:color="000000"/>
              <w:left w:val="single" w:sz="4" w:space="0" w:color="000000"/>
              <w:bottom w:val="single" w:sz="4" w:space="0" w:color="000000"/>
              <w:right w:val="single" w:sz="4" w:space="0" w:color="000000"/>
            </w:tcBorders>
            <w:shd w:val="clear" w:color="auto" w:fill="FDE9D9"/>
          </w:tcPr>
          <w:p w14:paraId="0C2BDD30" w14:textId="61C2A6DC" w:rsidR="00D30E86" w:rsidRDefault="001A3FAC">
            <w:pPr>
              <w:spacing w:after="0" w:line="259" w:lineRule="auto"/>
              <w:ind w:left="53" w:firstLine="0"/>
              <w:jc w:val="center"/>
            </w:pPr>
            <w:r>
              <w:rPr>
                <w:rFonts w:ascii="ＭＳ ゴシック" w:eastAsia="ＭＳ ゴシック" w:hAnsi="ＭＳ ゴシック" w:cs="ＭＳ ゴシック"/>
                <w:sz w:val="21"/>
              </w:rPr>
              <w:t xml:space="preserve">算出式 </w:t>
            </w:r>
          </w:p>
        </w:tc>
      </w:tr>
      <w:tr w:rsidR="00D30E86" w14:paraId="1CB84259" w14:textId="77777777">
        <w:trPr>
          <w:trHeight w:val="563"/>
        </w:trPr>
        <w:tc>
          <w:tcPr>
            <w:tcW w:w="2841" w:type="dxa"/>
            <w:tcBorders>
              <w:top w:val="single" w:sz="4" w:space="0" w:color="000000"/>
              <w:left w:val="single" w:sz="4" w:space="0" w:color="000000"/>
              <w:bottom w:val="single" w:sz="4" w:space="0" w:color="000000"/>
              <w:right w:val="single" w:sz="4" w:space="0" w:color="000000"/>
            </w:tcBorders>
            <w:shd w:val="clear" w:color="auto" w:fill="FDE9D9"/>
          </w:tcPr>
          <w:p w14:paraId="3A8A6848" w14:textId="77777777" w:rsidR="00D30E86" w:rsidRDefault="001A3FAC">
            <w:pPr>
              <w:spacing w:after="0" w:line="259" w:lineRule="auto"/>
              <w:ind w:left="53" w:firstLine="0"/>
              <w:jc w:val="both"/>
            </w:pPr>
            <w:r>
              <w:rPr>
                <w:rFonts w:ascii="ＭＳ ゴシック" w:eastAsia="ＭＳ ゴシック" w:hAnsi="ＭＳ ゴシック" w:cs="ＭＳ ゴシック"/>
                <w:sz w:val="21"/>
              </w:rPr>
              <w:t>①有形固定資産減価償却率</w:t>
            </w:r>
          </w:p>
          <w:p w14:paraId="6ACF6733" w14:textId="77777777" w:rsidR="00D30E86" w:rsidRDefault="001A3FAC">
            <w:pPr>
              <w:spacing w:after="0" w:line="259" w:lineRule="auto"/>
              <w:ind w:left="193" w:firstLine="0"/>
              <w:jc w:val="center"/>
            </w:pPr>
            <w:r>
              <w:rPr>
                <w:rFonts w:ascii="ＭＳ ゴシック" w:eastAsia="ＭＳ ゴシック" w:hAnsi="ＭＳ ゴシック" w:cs="ＭＳ ゴシック"/>
                <w:sz w:val="21"/>
              </w:rPr>
              <w:t xml:space="preserve">（％） </w:t>
            </w:r>
          </w:p>
        </w:tc>
        <w:tc>
          <w:tcPr>
            <w:tcW w:w="6196" w:type="dxa"/>
            <w:tcBorders>
              <w:top w:val="single" w:sz="4" w:space="0" w:color="000000"/>
              <w:left w:val="single" w:sz="4" w:space="0" w:color="000000"/>
              <w:bottom w:val="single" w:sz="4" w:space="0" w:color="000000"/>
              <w:right w:val="single" w:sz="4" w:space="0" w:color="000000"/>
            </w:tcBorders>
          </w:tcPr>
          <w:p w14:paraId="31B6EF96" w14:textId="7C0A660E" w:rsidR="00D30E86" w:rsidRDefault="00B20641">
            <w:pPr>
              <w:spacing w:after="0" w:line="259" w:lineRule="auto"/>
              <w:ind w:left="1568" w:firstLine="0"/>
            </w:pPr>
            <w:r>
              <w:rPr>
                <w:noProof/>
                <w:sz w:val="28"/>
              </w:rPr>
              <mc:AlternateContent>
                <mc:Choice Requires="wps">
                  <w:drawing>
                    <wp:anchor distT="0" distB="0" distL="114300" distR="114300" simplePos="0" relativeHeight="251675648" behindDoc="0" locked="0" layoutInCell="1" allowOverlap="1" wp14:anchorId="5DA9B53C" wp14:editId="4B02AF3E">
                      <wp:simplePos x="0" y="0"/>
                      <wp:positionH relativeFrom="column">
                        <wp:posOffset>2925445</wp:posOffset>
                      </wp:positionH>
                      <wp:positionV relativeFrom="paragraph">
                        <wp:posOffset>147955</wp:posOffset>
                      </wp:positionV>
                      <wp:extent cx="590550" cy="285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90550" cy="285750"/>
                              </a:xfrm>
                              <a:prstGeom prst="rect">
                                <a:avLst/>
                              </a:prstGeom>
                              <a:noFill/>
                              <a:ln w="6350">
                                <a:noFill/>
                              </a:ln>
                            </wps:spPr>
                            <wps:txbx>
                              <w:txbxContent>
                                <w:p w14:paraId="7BD19198" w14:textId="77777777" w:rsidR="00B20641" w:rsidRPr="00B20641" w:rsidRDefault="00B20641" w:rsidP="00B20641">
                                  <w:pPr>
                                    <w:rPr>
                                      <w:sz w:val="18"/>
                                      <w:szCs w:val="18"/>
                                    </w:rPr>
                                  </w:pPr>
                                  <w:r w:rsidRPr="00B20641">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A9B53C" id="テキスト ボックス 9" o:spid="_x0000_s1034" type="#_x0000_t202" style="position:absolute;left:0;text-align:left;margin-left:230.35pt;margin-top:11.65pt;width:46.5pt;height:2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" filled="f" stroked="f" strokeweight=".5pt">
                      <v:textbox>
                        <w:txbxContent>
                          <w:p w14:paraId="7BD19198" w14:textId="77777777" w:rsidR="00B20641" w:rsidRPr="00B20641" w:rsidRDefault="00B20641" w:rsidP="00B20641">
                            <w:pPr>
                              <w:rPr>
                                <w:sz w:val="18"/>
                                <w:szCs w:val="18"/>
                              </w:rPr>
                            </w:pPr>
                            <w:r w:rsidRPr="00B20641">
                              <w:rPr>
                                <w:rFonts w:hint="eastAsia"/>
                                <w:sz w:val="18"/>
                                <w:szCs w:val="18"/>
                              </w:rPr>
                              <w:t>×</w:t>
                            </w:r>
                          </w:p>
                        </w:txbxContent>
                      </v:textbox>
                    </v:shape>
                  </w:pict>
                </mc:Fallback>
              </mc:AlternateContent>
            </w:r>
            <w:r w:rsidR="001A3FAC">
              <w:rPr>
                <w:sz w:val="18"/>
              </w:rPr>
              <w:t>有形固定資産減価償却累計額</w:t>
            </w:r>
          </w:p>
          <w:p w14:paraId="5212223C" w14:textId="4C63F4B5" w:rsidR="00D30E86" w:rsidRDefault="001A3FAC">
            <w:pPr>
              <w:spacing w:after="0" w:line="259" w:lineRule="auto"/>
              <w:ind w:left="938" w:firstLine="0"/>
            </w:pPr>
            <w:r>
              <w:rPr>
                <w:rFonts w:ascii="Calibri" w:eastAsia="Calibri" w:hAnsi="Calibri" w:cs="Calibri"/>
                <w:noProof/>
              </w:rPr>
              <mc:AlternateContent>
                <mc:Choice Requires="wpg">
                  <w:drawing>
                    <wp:inline distT="0" distB="0" distL="0" distR="0" wp14:anchorId="12E4FDD0" wp14:editId="75E9CEDB">
                      <wp:extent cx="2286000" cy="7620"/>
                      <wp:effectExtent l="0" t="0" r="0" b="0"/>
                      <wp:docPr id="5563" name="Group 5563"/>
                      <wp:cNvGraphicFramePr/>
                      <a:graphic xmlns:a="http://schemas.openxmlformats.org/drawingml/2006/main">
                        <a:graphicData uri="http://schemas.microsoft.com/office/word/2010/wordprocessingGroup">
                          <wpg:wgp>
                            <wpg:cNvGrpSpPr/>
                            <wpg:grpSpPr>
                              <a:xfrm>
                                <a:off x="0" y="0"/>
                                <a:ext cx="2286000" cy="7620"/>
                                <a:chOff x="0" y="0"/>
                                <a:chExt cx="2286000" cy="7620"/>
                              </a:xfrm>
                            </wpg:grpSpPr>
                            <wps:wsp>
                              <wps:cNvPr id="7467" name="Shape 7467"/>
                              <wps:cNvSpPr/>
                              <wps:spPr>
                                <a:xfrm>
                                  <a:off x="0" y="0"/>
                                  <a:ext cx="2286000" cy="9144"/>
                                </a:xfrm>
                                <a:custGeom>
                                  <a:avLst/>
                                  <a:gdLst/>
                                  <a:ahLst/>
                                  <a:cxnLst/>
                                  <a:rect l="0" t="0" r="0" b="0"/>
                                  <a:pathLst>
                                    <a:path w="2286000" h="9144">
                                      <a:moveTo>
                                        <a:pt x="0" y="0"/>
                                      </a:moveTo>
                                      <a:lnTo>
                                        <a:pt x="2286000" y="0"/>
                                      </a:lnTo>
                                      <a:lnTo>
                                        <a:pt x="2286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63" style="width:180pt;height:0.600037pt;mso-position-horizontal-relative:char;mso-position-vertical-relative:line" coordsize="22860,76">
                      <v:shape id="Shape 7468" style="position:absolute;width:22860;height:91;left:0;top:0;" coordsize="2286000,9144" path="m0,0l2286000,0l2286000,9144l0,9144l0,0">
                        <v:stroke weight="0pt" endcap="flat" joinstyle="miter" miterlimit="10" on="false" color="#000000" opacity="0"/>
                        <v:fill on="true" color="#000000"/>
                      </v:shape>
                    </v:group>
                  </w:pict>
                </mc:Fallback>
              </mc:AlternateContent>
            </w:r>
            <w:r w:rsidR="00B20641">
              <w:rPr>
                <w:rFonts w:hint="eastAsia"/>
                <w:sz w:val="18"/>
              </w:rPr>
              <w:t xml:space="preserve">　　　　　</w:t>
            </w:r>
            <w:r>
              <w:rPr>
                <w:rFonts w:ascii="Cambria" w:eastAsia="Cambria" w:hAnsi="Cambria" w:cs="Cambria"/>
                <w:sz w:val="18"/>
              </w:rPr>
              <w:t>100</w:t>
            </w:r>
            <w:r>
              <w:rPr>
                <w:sz w:val="21"/>
              </w:rPr>
              <w:t xml:space="preserve"> </w:t>
            </w:r>
            <w:r>
              <w:rPr>
                <w:sz w:val="18"/>
              </w:rPr>
              <w:t>有形固定資産のうち償却対象資産の帳簿原価</w:t>
            </w:r>
          </w:p>
        </w:tc>
      </w:tr>
    </w:tbl>
    <w:p w14:paraId="63D60F0C" w14:textId="77777777" w:rsidR="00D30E86" w:rsidRDefault="001A3FAC">
      <w:pPr>
        <w:spacing w:after="67" w:line="259" w:lineRule="auto"/>
        <w:ind w:left="-15" w:firstLine="0"/>
      </w:pPr>
      <w:r>
        <w:t>【指標の意味】</w:t>
      </w:r>
      <w:r>
        <w:rPr>
          <w:rFonts w:ascii="Century" w:eastAsia="Century" w:hAnsi="Century" w:cs="Century"/>
        </w:rPr>
        <w:t xml:space="preserve"> </w:t>
      </w:r>
    </w:p>
    <w:p w14:paraId="260C1A79" w14:textId="77777777" w:rsidR="00D30E86" w:rsidRDefault="001A3FAC">
      <w:pPr>
        <w:ind w:left="-15"/>
      </w:pPr>
      <w:r>
        <w:t>有形固定資産のうち償却対象資産の減価償却がどの程度進んでいるかを表す指標で、資産の老朽化度合を示している。</w:t>
      </w:r>
      <w:r>
        <w:rPr>
          <w:rFonts w:ascii="Century" w:eastAsia="Century" w:hAnsi="Century" w:cs="Century"/>
          <w:color w:val="FF0000"/>
        </w:rPr>
        <w:t xml:space="preserve"> </w:t>
      </w:r>
    </w:p>
    <w:p w14:paraId="39606900" w14:textId="77777777" w:rsidR="00D30E86" w:rsidRDefault="001A3FAC">
      <w:pPr>
        <w:spacing w:after="67" w:line="259" w:lineRule="auto"/>
        <w:ind w:left="-15" w:firstLine="0"/>
      </w:pPr>
      <w:r>
        <w:t>【分析の考え方】</w:t>
      </w:r>
      <w:r>
        <w:rPr>
          <w:rFonts w:ascii="Century" w:eastAsia="Century" w:hAnsi="Century" w:cs="Century"/>
        </w:rPr>
        <w:t xml:space="preserve"> </w:t>
      </w:r>
    </w:p>
    <w:p w14:paraId="42A9050F" w14:textId="77777777" w:rsidR="00D30E86" w:rsidRDefault="001A3FAC">
      <w:pPr>
        <w:ind w:left="-15"/>
      </w:pPr>
      <w:r>
        <w:t>当該指標については、明確な数値基準はないと考えられる。従って、経年比較や類似団体との比較等により自団体の置かれている状況を把握・分析し、適切な数値となっているか、対外的に説明できることが求められる。</w:t>
      </w:r>
      <w:r>
        <w:rPr>
          <w:rFonts w:ascii="Century" w:eastAsia="Century" w:hAnsi="Century" w:cs="Century"/>
          <w:color w:val="FF0000"/>
        </w:rPr>
        <w:t xml:space="preserve"> </w:t>
      </w:r>
    </w:p>
    <w:p w14:paraId="6933E50B" w14:textId="7F50F27E" w:rsidR="00D30E86" w:rsidRDefault="001A3FAC">
      <w:pPr>
        <w:ind w:left="-15"/>
      </w:pPr>
      <w:r>
        <w:t>一般的に、数値が高いほど、法定耐用年数に近い資産が多いことを示しており、将来の施設の更新等の必要性を推測することができる。</w:t>
      </w:r>
      <w:r>
        <w:rPr>
          <w:rFonts w:ascii="Century" w:eastAsia="Century" w:hAnsi="Century" w:cs="Century"/>
          <w:color w:val="FF0000"/>
        </w:rPr>
        <w:t xml:space="preserve"> </w:t>
      </w:r>
    </w:p>
    <w:p w14:paraId="06E6B39C" w14:textId="09EE9AD4" w:rsidR="00D30E86" w:rsidRDefault="001A3FAC">
      <w:pPr>
        <w:ind w:left="-15"/>
      </w:pPr>
      <w:r>
        <w:t>また、他の老朽化の状況を示す指標である管路経年化率や管路更新率の状況を踏まえ分析する必要があると考えられ、施設の更新等の必要性が高い場合などには、更新等の財源の確保や経営に与える影響等を踏まえた分析を行い、必要に応じて経営改善の実施や投資計画等の見直しなどを行う必要がある。</w:t>
      </w:r>
      <w:r>
        <w:rPr>
          <w:rFonts w:ascii="Century" w:eastAsia="Century" w:hAnsi="Century" w:cs="Century"/>
        </w:rPr>
        <w:t xml:space="preserve"> </w:t>
      </w:r>
    </w:p>
    <w:p w14:paraId="5B852EA1" w14:textId="5067C8BD" w:rsidR="00D30E86" w:rsidRDefault="001A3FAC">
      <w:pPr>
        <w:ind w:left="-15"/>
      </w:pPr>
      <w:r>
        <w:t>なお、長寿命化等に取り組んでいる団体においては、分析の際に、それらの効果についても留意が必要である。</w:t>
      </w:r>
      <w:r>
        <w:rPr>
          <w:rFonts w:ascii="Century" w:eastAsia="Century" w:hAnsi="Century" w:cs="Century"/>
        </w:rPr>
        <w:t xml:space="preserve"> </w:t>
      </w:r>
    </w:p>
    <w:p w14:paraId="1F5AB0DB" w14:textId="20F52F97" w:rsidR="00D30E86" w:rsidRDefault="001A3FAC">
      <w:pPr>
        <w:spacing w:after="0" w:line="259" w:lineRule="auto"/>
        <w:ind w:firstLine="0"/>
      </w:pPr>
      <w:r>
        <w:rPr>
          <w:rFonts w:ascii="Century" w:eastAsia="Century" w:hAnsi="Century" w:cs="Century"/>
          <w:color w:val="FF0000"/>
          <w:sz w:val="21"/>
        </w:rPr>
        <w:t xml:space="preserve"> </w:t>
      </w:r>
    </w:p>
    <w:tbl>
      <w:tblPr>
        <w:tblStyle w:val="TableGrid"/>
        <w:tblW w:w="9037" w:type="dxa"/>
        <w:tblInd w:w="300" w:type="dxa"/>
        <w:tblCellMar>
          <w:top w:w="35" w:type="dxa"/>
          <w:left w:w="107" w:type="dxa"/>
          <w:right w:w="115" w:type="dxa"/>
        </w:tblCellMar>
        <w:tblLook w:val="04A0" w:firstRow="1" w:lastRow="0" w:firstColumn="1" w:lastColumn="0" w:noHBand="0" w:noVBand="1"/>
      </w:tblPr>
      <w:tblGrid>
        <w:gridCol w:w="2546"/>
        <w:gridCol w:w="6491"/>
      </w:tblGrid>
      <w:tr w:rsidR="00D30E86" w14:paraId="29067EA9" w14:textId="77777777">
        <w:trPr>
          <w:trHeight w:val="281"/>
        </w:trPr>
        <w:tc>
          <w:tcPr>
            <w:tcW w:w="2546" w:type="dxa"/>
            <w:tcBorders>
              <w:top w:val="single" w:sz="4" w:space="0" w:color="000000"/>
              <w:left w:val="single" w:sz="4" w:space="0" w:color="000000"/>
              <w:bottom w:val="single" w:sz="4" w:space="0" w:color="000000"/>
              <w:right w:val="single" w:sz="4" w:space="0" w:color="000000"/>
            </w:tcBorders>
            <w:shd w:val="clear" w:color="auto" w:fill="FDE9D9"/>
          </w:tcPr>
          <w:p w14:paraId="753F7747" w14:textId="77777777" w:rsidR="00D30E86" w:rsidRDefault="001A3FAC">
            <w:pPr>
              <w:spacing w:after="0" w:line="259" w:lineRule="auto"/>
              <w:ind w:firstLine="0"/>
            </w:pPr>
            <w:r>
              <w:rPr>
                <w:rFonts w:ascii="ＭＳ ゴシック" w:eastAsia="ＭＳ ゴシック" w:hAnsi="ＭＳ ゴシック" w:cs="ＭＳ ゴシック"/>
                <w:sz w:val="21"/>
              </w:rPr>
              <w:t xml:space="preserve"> </w:t>
            </w:r>
          </w:p>
        </w:tc>
        <w:tc>
          <w:tcPr>
            <w:tcW w:w="6491" w:type="dxa"/>
            <w:tcBorders>
              <w:top w:val="single" w:sz="4" w:space="0" w:color="000000"/>
              <w:left w:val="single" w:sz="4" w:space="0" w:color="000000"/>
              <w:bottom w:val="single" w:sz="4" w:space="0" w:color="000000"/>
              <w:right w:val="single" w:sz="4" w:space="0" w:color="000000"/>
            </w:tcBorders>
            <w:shd w:val="clear" w:color="auto" w:fill="FDE9D9"/>
          </w:tcPr>
          <w:p w14:paraId="1ECFE810" w14:textId="453BDA0F" w:rsidR="00D30E86" w:rsidRDefault="001A3FAC">
            <w:pPr>
              <w:spacing w:after="0" w:line="259" w:lineRule="auto"/>
              <w:ind w:left="8" w:firstLine="0"/>
              <w:jc w:val="center"/>
            </w:pPr>
            <w:r>
              <w:rPr>
                <w:rFonts w:ascii="ＭＳ ゴシック" w:eastAsia="ＭＳ ゴシック" w:hAnsi="ＭＳ ゴシック" w:cs="ＭＳ ゴシック"/>
                <w:sz w:val="21"/>
              </w:rPr>
              <w:t xml:space="preserve">算出式 </w:t>
            </w:r>
          </w:p>
        </w:tc>
      </w:tr>
      <w:tr w:rsidR="00D30E86" w14:paraId="143B2AA2" w14:textId="77777777">
        <w:trPr>
          <w:trHeight w:val="563"/>
        </w:trPr>
        <w:tc>
          <w:tcPr>
            <w:tcW w:w="2546"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7935F2DB" w14:textId="77777777" w:rsidR="00D30E86" w:rsidRDefault="001A3FAC">
            <w:pPr>
              <w:spacing w:after="0" w:line="259" w:lineRule="auto"/>
              <w:ind w:left="115" w:firstLine="0"/>
            </w:pPr>
            <w:r>
              <w:rPr>
                <w:rFonts w:ascii="ＭＳ ゴシック" w:eastAsia="ＭＳ ゴシック" w:hAnsi="ＭＳ ゴシック" w:cs="ＭＳ ゴシック"/>
                <w:sz w:val="21"/>
              </w:rPr>
              <w:t xml:space="preserve">②管路経年化率（％） </w:t>
            </w:r>
          </w:p>
        </w:tc>
        <w:tc>
          <w:tcPr>
            <w:tcW w:w="6491" w:type="dxa"/>
            <w:tcBorders>
              <w:top w:val="single" w:sz="4" w:space="0" w:color="000000"/>
              <w:left w:val="single" w:sz="4" w:space="0" w:color="000000"/>
              <w:bottom w:val="single" w:sz="4" w:space="0" w:color="000000"/>
              <w:right w:val="single" w:sz="4" w:space="0" w:color="000000"/>
            </w:tcBorders>
          </w:tcPr>
          <w:p w14:paraId="25B2B71E" w14:textId="5F73D7E3" w:rsidR="00D30E86" w:rsidRDefault="00B20641">
            <w:pPr>
              <w:spacing w:after="0" w:line="259" w:lineRule="auto"/>
              <w:ind w:left="1536" w:firstLine="0"/>
            </w:pPr>
            <w:r>
              <w:rPr>
                <w:noProof/>
                <w:sz w:val="28"/>
              </w:rPr>
              <mc:AlternateContent>
                <mc:Choice Requires="wps">
                  <w:drawing>
                    <wp:anchor distT="0" distB="0" distL="114300" distR="114300" simplePos="0" relativeHeight="251677696" behindDoc="0" locked="0" layoutInCell="1" allowOverlap="1" wp14:anchorId="04681C52" wp14:editId="26A035F7">
                      <wp:simplePos x="0" y="0"/>
                      <wp:positionH relativeFrom="column">
                        <wp:posOffset>2731770</wp:posOffset>
                      </wp:positionH>
                      <wp:positionV relativeFrom="paragraph">
                        <wp:posOffset>153670</wp:posOffset>
                      </wp:positionV>
                      <wp:extent cx="590550" cy="2857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0550" cy="285750"/>
                              </a:xfrm>
                              <a:prstGeom prst="rect">
                                <a:avLst/>
                              </a:prstGeom>
                              <a:noFill/>
                              <a:ln w="6350">
                                <a:noFill/>
                              </a:ln>
                            </wps:spPr>
                            <wps:txbx>
                              <w:txbxContent>
                                <w:p w14:paraId="522A86D1" w14:textId="77777777" w:rsidR="00B20641" w:rsidRPr="00B20641" w:rsidRDefault="00B20641" w:rsidP="00B20641">
                                  <w:pPr>
                                    <w:rPr>
                                      <w:sz w:val="18"/>
                                      <w:szCs w:val="18"/>
                                    </w:rPr>
                                  </w:pPr>
                                  <w:r w:rsidRPr="00B20641">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681C52" id="テキスト ボックス 10" o:spid="_x0000_s1035" type="#_x0000_t202" style="position:absolute;left:0;text-align:left;margin-left:215.1pt;margin-top:12.1pt;width:46.5pt;height:2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" filled="f" stroked="f" strokeweight=".5pt">
                      <v:textbox>
                        <w:txbxContent>
                          <w:p w14:paraId="522A86D1" w14:textId="77777777" w:rsidR="00B20641" w:rsidRPr="00B20641" w:rsidRDefault="00B20641" w:rsidP="00B20641">
                            <w:pPr>
                              <w:rPr>
                                <w:sz w:val="18"/>
                                <w:szCs w:val="18"/>
                              </w:rPr>
                            </w:pPr>
                            <w:r w:rsidRPr="00B20641">
                              <w:rPr>
                                <w:rFonts w:hint="eastAsia"/>
                                <w:sz w:val="18"/>
                                <w:szCs w:val="18"/>
                              </w:rPr>
                              <w:t>×</w:t>
                            </w:r>
                          </w:p>
                        </w:txbxContent>
                      </v:textbox>
                    </v:shape>
                  </w:pict>
                </mc:Fallback>
              </mc:AlternateContent>
            </w:r>
            <w:r w:rsidR="001A3FAC">
              <w:rPr>
                <w:sz w:val="18"/>
              </w:rPr>
              <w:t>法定耐用年数を経過した管路延長</w:t>
            </w:r>
          </w:p>
          <w:p w14:paraId="5427C19B" w14:textId="33DE30E3" w:rsidR="00D30E86" w:rsidRDefault="001A3FAC">
            <w:pPr>
              <w:spacing w:after="0" w:line="259" w:lineRule="auto"/>
              <w:ind w:left="2526" w:right="700" w:hanging="990"/>
            </w:pPr>
            <w:r>
              <w:rPr>
                <w:rFonts w:ascii="Calibri" w:eastAsia="Calibri" w:hAnsi="Calibri" w:cs="Calibri"/>
                <w:noProof/>
              </w:rPr>
              <mc:AlternateContent>
                <mc:Choice Requires="wpg">
                  <w:drawing>
                    <wp:inline distT="0" distB="0" distL="0" distR="0" wp14:anchorId="25B18D8A" wp14:editId="278FA2DA">
                      <wp:extent cx="1714500" cy="7620"/>
                      <wp:effectExtent l="0" t="0" r="0" b="0"/>
                      <wp:docPr id="5350" name="Group 5350"/>
                      <wp:cNvGraphicFramePr/>
                      <a:graphic xmlns:a="http://schemas.openxmlformats.org/drawingml/2006/main">
                        <a:graphicData uri="http://schemas.microsoft.com/office/word/2010/wordprocessingGroup">
                          <wpg:wgp>
                            <wpg:cNvGrpSpPr/>
                            <wpg:grpSpPr>
                              <a:xfrm>
                                <a:off x="0" y="0"/>
                                <a:ext cx="1714500" cy="7620"/>
                                <a:chOff x="0" y="0"/>
                                <a:chExt cx="1714500" cy="7620"/>
                              </a:xfrm>
                            </wpg:grpSpPr>
                            <wps:wsp>
                              <wps:cNvPr id="7469" name="Shape 7469"/>
                              <wps:cNvSpPr/>
                              <wps:spPr>
                                <a:xfrm>
                                  <a:off x="0" y="0"/>
                                  <a:ext cx="1714500" cy="9144"/>
                                </a:xfrm>
                                <a:custGeom>
                                  <a:avLst/>
                                  <a:gdLst/>
                                  <a:ahLst/>
                                  <a:cxnLst/>
                                  <a:rect l="0" t="0" r="0" b="0"/>
                                  <a:pathLst>
                                    <a:path w="1714500" h="9144">
                                      <a:moveTo>
                                        <a:pt x="0" y="0"/>
                                      </a:moveTo>
                                      <a:lnTo>
                                        <a:pt x="1714500" y="0"/>
                                      </a:lnTo>
                                      <a:lnTo>
                                        <a:pt x="1714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50" style="width:135pt;height:0.600006pt;mso-position-horizontal-relative:char;mso-position-vertical-relative:line" coordsize="17145,76">
                      <v:shape id="Shape 7470" style="position:absolute;width:17145;height:91;left:0;top:0;" coordsize="1714500,9144" path="m0,0l1714500,0l1714500,9144l0,9144l0,0">
                        <v:stroke weight="0pt" endcap="flat" joinstyle="miter" miterlimit="10" on="false" color="#000000" opacity="0"/>
                        <v:fill on="true" color="#000000"/>
                      </v:shape>
                    </v:group>
                  </w:pict>
                </mc:Fallback>
              </mc:AlternateContent>
            </w:r>
            <w:r w:rsidR="00B20641">
              <w:rPr>
                <w:rFonts w:hint="eastAsia"/>
                <w:sz w:val="18"/>
              </w:rPr>
              <w:t xml:space="preserve">　　　　　</w:t>
            </w:r>
            <w:r>
              <w:rPr>
                <w:rFonts w:ascii="Cambria" w:eastAsia="Cambria" w:hAnsi="Cambria" w:cs="Cambria"/>
                <w:sz w:val="18"/>
              </w:rPr>
              <w:t>100</w:t>
            </w:r>
            <w:r>
              <w:rPr>
                <w:sz w:val="21"/>
              </w:rPr>
              <w:t xml:space="preserve"> </w:t>
            </w:r>
            <w:r>
              <w:rPr>
                <w:sz w:val="18"/>
              </w:rPr>
              <w:t>管路延長</w:t>
            </w:r>
          </w:p>
        </w:tc>
      </w:tr>
    </w:tbl>
    <w:p w14:paraId="3CDF3BBA" w14:textId="77777777" w:rsidR="00D30E86" w:rsidRDefault="001A3FAC">
      <w:pPr>
        <w:spacing w:after="67" w:line="259" w:lineRule="auto"/>
        <w:ind w:left="-15" w:firstLine="0"/>
      </w:pPr>
      <w:r>
        <w:t>【指標の意味】</w:t>
      </w:r>
      <w:r>
        <w:rPr>
          <w:rFonts w:ascii="Century" w:eastAsia="Century" w:hAnsi="Century" w:cs="Century"/>
        </w:rPr>
        <w:t xml:space="preserve"> </w:t>
      </w:r>
    </w:p>
    <w:p w14:paraId="5B033539" w14:textId="77777777" w:rsidR="00D30E86" w:rsidRDefault="001A3FAC">
      <w:pPr>
        <w:spacing w:after="69" w:line="259" w:lineRule="auto"/>
        <w:ind w:left="220" w:firstLine="0"/>
      </w:pPr>
      <w:r>
        <w:t>法定耐用年数を超えた管路延長の割合を表す指標で、管路の老朽化度合を示している。</w:t>
      </w:r>
      <w:r>
        <w:rPr>
          <w:rFonts w:ascii="Century" w:eastAsia="Century" w:hAnsi="Century" w:cs="Century"/>
        </w:rPr>
        <w:t xml:space="preserve"> </w:t>
      </w:r>
    </w:p>
    <w:p w14:paraId="251D9FB4" w14:textId="77777777" w:rsidR="00D30E86" w:rsidRDefault="001A3FAC">
      <w:pPr>
        <w:spacing w:after="67" w:line="259" w:lineRule="auto"/>
        <w:ind w:left="-15" w:firstLine="0"/>
      </w:pPr>
      <w:r>
        <w:t>【分析の考え方】</w:t>
      </w:r>
      <w:r>
        <w:rPr>
          <w:rFonts w:ascii="Century" w:eastAsia="Century" w:hAnsi="Century" w:cs="Century"/>
        </w:rPr>
        <w:t xml:space="preserve"> </w:t>
      </w:r>
    </w:p>
    <w:p w14:paraId="7C84879E" w14:textId="77777777" w:rsidR="00D30E86" w:rsidRDefault="001A3FAC">
      <w:pPr>
        <w:ind w:left="-15"/>
      </w:pPr>
      <w:r>
        <w:lastRenderedPageBreak/>
        <w:t>当該指標については、明確な数値基準はないと考えられる。従って、経年比較や類似団体との比較等により自団体の置かれている状況を把握・分析し、適切な数値となっているか、耐震性や、今後の更新投資の見通しを含め、対外的に説明できることが求められる。</w:t>
      </w:r>
      <w:r>
        <w:rPr>
          <w:rFonts w:ascii="Century" w:eastAsia="Century" w:hAnsi="Century" w:cs="Century"/>
        </w:rPr>
        <w:t xml:space="preserve"> </w:t>
      </w:r>
    </w:p>
    <w:p w14:paraId="0353A054" w14:textId="77777777" w:rsidR="00D30E86" w:rsidRDefault="001A3FAC">
      <w:pPr>
        <w:ind w:left="-15"/>
      </w:pPr>
      <w:r>
        <w:t>一般的に、数値が高い場合は、法定耐用年数を経過した管路を多く保有しており、管路の更新等の必要性を推測することができる。</w:t>
      </w:r>
      <w:r>
        <w:rPr>
          <w:rFonts w:ascii="Century" w:eastAsia="Century" w:hAnsi="Century" w:cs="Century"/>
        </w:rPr>
        <w:t xml:space="preserve"> </w:t>
      </w:r>
    </w:p>
    <w:p w14:paraId="3A3A6798" w14:textId="77777777" w:rsidR="00D30E86" w:rsidRDefault="001A3FAC">
      <w:pPr>
        <w:ind w:left="-15"/>
      </w:pPr>
      <w:r>
        <w:t>また、他の老朽化の状況を示す指標である有形固定資産減価償却率や管路更新率の状況を踏まえ分析する必要があると考えられ、管路の更新等の必要性が高い場合などには、更新等の財源の確保や経営に与える影響等を踏まえた分析を行い、必要に応じて経営改善の実施や投資計画等の見直しなどを行う必要がある。</w:t>
      </w:r>
      <w:r>
        <w:rPr>
          <w:rFonts w:ascii="Century" w:eastAsia="Century" w:hAnsi="Century" w:cs="Century"/>
        </w:rPr>
        <w:t xml:space="preserve"> </w:t>
      </w:r>
    </w:p>
    <w:p w14:paraId="6DA50B15" w14:textId="77777777" w:rsidR="00D30E86" w:rsidRDefault="001A3FAC">
      <w:pPr>
        <w:ind w:left="-15"/>
      </w:pPr>
      <w:r>
        <w:t>管路経年化率が低い場合であっても、今後耐用年数に達し更新時期を迎える管路が増加すること等が考えられるため、事業費の平準化を図り、計画的かつ効率的な更新に取り組む必要がある。</w:t>
      </w:r>
      <w:r>
        <w:rPr>
          <w:rFonts w:ascii="Century" w:eastAsia="Century" w:hAnsi="Century" w:cs="Century"/>
        </w:rPr>
        <w:t xml:space="preserve"> </w:t>
      </w:r>
    </w:p>
    <w:p w14:paraId="6FA725CD" w14:textId="661653E3" w:rsidR="00D30E86" w:rsidRDefault="001A3FAC">
      <w:pPr>
        <w:ind w:left="-15"/>
      </w:pPr>
      <w:r>
        <w:t>なお、長寿命化等に取り組んでいる団体においては、分析の際に、それらの効果についても留意が必要である。</w:t>
      </w:r>
      <w:r>
        <w:rPr>
          <w:rFonts w:ascii="Century" w:eastAsia="Century" w:hAnsi="Century" w:cs="Century"/>
        </w:rPr>
        <w:t xml:space="preserve"> </w:t>
      </w:r>
    </w:p>
    <w:p w14:paraId="7A622F5E" w14:textId="6B8818B8" w:rsidR="00D30E86" w:rsidRDefault="001A3FAC">
      <w:pPr>
        <w:spacing w:after="87" w:line="259" w:lineRule="auto"/>
        <w:ind w:firstLine="0"/>
      </w:pPr>
      <w:r>
        <w:rPr>
          <w:rFonts w:ascii="Century" w:eastAsia="Century" w:hAnsi="Century" w:cs="Century"/>
          <w:sz w:val="21"/>
        </w:rPr>
        <w:t xml:space="preserve"> </w:t>
      </w:r>
    </w:p>
    <w:p w14:paraId="23C019C5" w14:textId="07A1B68A" w:rsidR="00D30E86" w:rsidRDefault="001A3FAC">
      <w:pPr>
        <w:spacing w:after="0" w:line="259" w:lineRule="auto"/>
        <w:ind w:firstLine="0"/>
      </w:pPr>
      <w:r>
        <w:rPr>
          <w:rFonts w:ascii="Century" w:eastAsia="Century" w:hAnsi="Century" w:cs="Century"/>
          <w:sz w:val="21"/>
        </w:rPr>
        <w:t xml:space="preserve"> </w:t>
      </w:r>
    </w:p>
    <w:tbl>
      <w:tblPr>
        <w:tblStyle w:val="TableGrid"/>
        <w:tblW w:w="9037" w:type="dxa"/>
        <w:tblInd w:w="300" w:type="dxa"/>
        <w:tblCellMar>
          <w:top w:w="34" w:type="dxa"/>
          <w:left w:w="107" w:type="dxa"/>
          <w:right w:w="115" w:type="dxa"/>
        </w:tblCellMar>
        <w:tblLook w:val="04A0" w:firstRow="1" w:lastRow="0" w:firstColumn="1" w:lastColumn="0" w:noHBand="0" w:noVBand="1"/>
      </w:tblPr>
      <w:tblGrid>
        <w:gridCol w:w="2546"/>
        <w:gridCol w:w="6491"/>
      </w:tblGrid>
      <w:tr w:rsidR="00D30E86" w14:paraId="36AF9A13" w14:textId="77777777">
        <w:trPr>
          <w:trHeight w:val="281"/>
        </w:trPr>
        <w:tc>
          <w:tcPr>
            <w:tcW w:w="2546" w:type="dxa"/>
            <w:tcBorders>
              <w:top w:val="single" w:sz="4" w:space="0" w:color="000000"/>
              <w:left w:val="single" w:sz="4" w:space="0" w:color="000000"/>
              <w:bottom w:val="single" w:sz="4" w:space="0" w:color="000000"/>
              <w:right w:val="single" w:sz="4" w:space="0" w:color="000000"/>
            </w:tcBorders>
            <w:shd w:val="clear" w:color="auto" w:fill="FDE9D9"/>
          </w:tcPr>
          <w:p w14:paraId="1BA94E58" w14:textId="77777777" w:rsidR="00D30E86" w:rsidRDefault="001A3FAC">
            <w:pPr>
              <w:spacing w:after="0" w:line="259" w:lineRule="auto"/>
              <w:ind w:firstLine="0"/>
            </w:pPr>
            <w:r>
              <w:rPr>
                <w:rFonts w:ascii="ＭＳ ゴシック" w:eastAsia="ＭＳ ゴシック" w:hAnsi="ＭＳ ゴシック" w:cs="ＭＳ ゴシック"/>
                <w:sz w:val="21"/>
              </w:rPr>
              <w:t xml:space="preserve"> </w:t>
            </w:r>
          </w:p>
        </w:tc>
        <w:tc>
          <w:tcPr>
            <w:tcW w:w="6491" w:type="dxa"/>
            <w:tcBorders>
              <w:top w:val="single" w:sz="4" w:space="0" w:color="000000"/>
              <w:left w:val="single" w:sz="4" w:space="0" w:color="000000"/>
              <w:bottom w:val="single" w:sz="4" w:space="0" w:color="000000"/>
              <w:right w:val="single" w:sz="4" w:space="0" w:color="000000"/>
            </w:tcBorders>
            <w:shd w:val="clear" w:color="auto" w:fill="FDE9D9"/>
          </w:tcPr>
          <w:p w14:paraId="492F4D27" w14:textId="41CF7430" w:rsidR="00D30E86" w:rsidRDefault="001A3FAC">
            <w:pPr>
              <w:spacing w:after="0" w:line="259" w:lineRule="auto"/>
              <w:ind w:left="8" w:firstLine="0"/>
              <w:jc w:val="center"/>
            </w:pPr>
            <w:r>
              <w:rPr>
                <w:rFonts w:ascii="ＭＳ ゴシック" w:eastAsia="ＭＳ ゴシック" w:hAnsi="ＭＳ ゴシック" w:cs="ＭＳ ゴシック"/>
                <w:sz w:val="21"/>
              </w:rPr>
              <w:t xml:space="preserve">算出式 </w:t>
            </w:r>
          </w:p>
        </w:tc>
      </w:tr>
      <w:tr w:rsidR="00D30E86" w14:paraId="2ACE97F0" w14:textId="77777777">
        <w:trPr>
          <w:trHeight w:val="563"/>
        </w:trPr>
        <w:tc>
          <w:tcPr>
            <w:tcW w:w="2546"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09B69AA1" w14:textId="77777777" w:rsidR="00D30E86" w:rsidRDefault="001A3FAC">
            <w:pPr>
              <w:spacing w:after="0" w:line="259" w:lineRule="auto"/>
              <w:ind w:left="221" w:firstLine="0"/>
            </w:pPr>
            <w:r>
              <w:rPr>
                <w:rFonts w:ascii="ＭＳ ゴシック" w:eastAsia="ＭＳ ゴシック" w:hAnsi="ＭＳ ゴシック" w:cs="ＭＳ ゴシック"/>
                <w:sz w:val="21"/>
              </w:rPr>
              <w:t xml:space="preserve">③管路更新率（％） </w:t>
            </w:r>
          </w:p>
        </w:tc>
        <w:tc>
          <w:tcPr>
            <w:tcW w:w="6491" w:type="dxa"/>
            <w:tcBorders>
              <w:top w:val="single" w:sz="4" w:space="0" w:color="000000"/>
              <w:left w:val="single" w:sz="4" w:space="0" w:color="000000"/>
              <w:bottom w:val="single" w:sz="4" w:space="0" w:color="000000"/>
              <w:right w:val="single" w:sz="4" w:space="0" w:color="000000"/>
            </w:tcBorders>
          </w:tcPr>
          <w:p w14:paraId="3D56D028" w14:textId="019D156B" w:rsidR="00D30E86" w:rsidRDefault="00B20641">
            <w:pPr>
              <w:spacing w:after="0" w:line="259" w:lineRule="auto"/>
              <w:ind w:right="497" w:firstLine="0"/>
              <w:jc w:val="center"/>
            </w:pPr>
            <w:r>
              <w:rPr>
                <w:noProof/>
                <w:sz w:val="28"/>
              </w:rPr>
              <mc:AlternateContent>
                <mc:Choice Requires="wps">
                  <w:drawing>
                    <wp:anchor distT="0" distB="0" distL="114300" distR="114300" simplePos="0" relativeHeight="251679744" behindDoc="0" locked="0" layoutInCell="1" allowOverlap="1" wp14:anchorId="07B802F7" wp14:editId="0F0CE0F5">
                      <wp:simplePos x="0" y="0"/>
                      <wp:positionH relativeFrom="column">
                        <wp:posOffset>2636520</wp:posOffset>
                      </wp:positionH>
                      <wp:positionV relativeFrom="paragraph">
                        <wp:posOffset>151130</wp:posOffset>
                      </wp:positionV>
                      <wp:extent cx="590550" cy="2857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90550" cy="285750"/>
                              </a:xfrm>
                              <a:prstGeom prst="rect">
                                <a:avLst/>
                              </a:prstGeom>
                              <a:noFill/>
                              <a:ln w="6350">
                                <a:noFill/>
                              </a:ln>
                            </wps:spPr>
                            <wps:txbx>
                              <w:txbxContent>
                                <w:p w14:paraId="70167883" w14:textId="77777777" w:rsidR="00B20641" w:rsidRPr="00B20641" w:rsidRDefault="00B20641" w:rsidP="00B20641">
                                  <w:pPr>
                                    <w:rPr>
                                      <w:sz w:val="18"/>
                                      <w:szCs w:val="18"/>
                                    </w:rPr>
                                  </w:pPr>
                                  <w:r w:rsidRPr="00B20641">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B802F7" id="テキスト ボックス 11" o:spid="_x0000_s1036" type="#_x0000_t202" style="position:absolute;left:0;text-align:left;margin-left:207.6pt;margin-top:11.9pt;width:46.5pt;height: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" filled="f" stroked="f" strokeweight=".5pt">
                      <v:textbox>
                        <w:txbxContent>
                          <w:p w14:paraId="70167883" w14:textId="77777777" w:rsidR="00B20641" w:rsidRPr="00B20641" w:rsidRDefault="00B20641" w:rsidP="00B20641">
                            <w:pPr>
                              <w:rPr>
                                <w:sz w:val="18"/>
                                <w:szCs w:val="18"/>
                              </w:rPr>
                            </w:pPr>
                            <w:r w:rsidRPr="00B20641">
                              <w:rPr>
                                <w:rFonts w:hint="eastAsia"/>
                                <w:sz w:val="18"/>
                                <w:szCs w:val="18"/>
                              </w:rPr>
                              <w:t>×</w:t>
                            </w:r>
                          </w:p>
                        </w:txbxContent>
                      </v:textbox>
                    </v:shape>
                  </w:pict>
                </mc:Fallback>
              </mc:AlternateContent>
            </w:r>
            <w:r w:rsidR="001A3FAC">
              <w:rPr>
                <w:sz w:val="18"/>
              </w:rPr>
              <w:t>当該年度に更新した管路延長</w:t>
            </w:r>
          </w:p>
          <w:p w14:paraId="467C54D0" w14:textId="7219D695" w:rsidR="00D30E86" w:rsidRDefault="001A3FAC">
            <w:pPr>
              <w:spacing w:after="0" w:line="259" w:lineRule="auto"/>
              <w:ind w:left="2526" w:right="880" w:hanging="810"/>
            </w:pPr>
            <w:r>
              <w:rPr>
                <w:rFonts w:ascii="Calibri" w:eastAsia="Calibri" w:hAnsi="Calibri" w:cs="Calibri"/>
                <w:noProof/>
              </w:rPr>
              <mc:AlternateContent>
                <mc:Choice Requires="wpg">
                  <w:drawing>
                    <wp:inline distT="0" distB="0" distL="0" distR="0" wp14:anchorId="4C67561E" wp14:editId="335F9D55">
                      <wp:extent cx="1485900" cy="7620"/>
                      <wp:effectExtent l="0" t="0" r="0" b="0"/>
                      <wp:docPr id="7004" name="Group 7004"/>
                      <wp:cNvGraphicFramePr/>
                      <a:graphic xmlns:a="http://schemas.openxmlformats.org/drawingml/2006/main">
                        <a:graphicData uri="http://schemas.microsoft.com/office/word/2010/wordprocessingGroup">
                          <wpg:wgp>
                            <wpg:cNvGrpSpPr/>
                            <wpg:grpSpPr>
                              <a:xfrm>
                                <a:off x="0" y="0"/>
                                <a:ext cx="1485900" cy="7620"/>
                                <a:chOff x="0" y="0"/>
                                <a:chExt cx="1485900" cy="7620"/>
                              </a:xfrm>
                            </wpg:grpSpPr>
                            <wps:wsp>
                              <wps:cNvPr id="7471" name="Shape 7471"/>
                              <wps:cNvSpPr/>
                              <wps:spPr>
                                <a:xfrm>
                                  <a:off x="0" y="0"/>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04" style="width:117pt;height:0.600037pt;mso-position-horizontal-relative:char;mso-position-vertical-relative:line" coordsize="14859,76">
                      <v:shape id="Shape 7472" style="position:absolute;width:14859;height:91;left:0;top:0;" coordsize="1485900,9144" path="m0,0l1485900,0l1485900,9144l0,9144l0,0">
                        <v:stroke weight="0pt" endcap="flat" joinstyle="miter" miterlimit="10" on="false" color="#000000" opacity="0"/>
                        <v:fill on="true" color="#000000"/>
                      </v:shape>
                    </v:group>
                  </w:pict>
                </mc:Fallback>
              </mc:AlternateContent>
            </w:r>
            <w:r w:rsidR="00B20641">
              <w:rPr>
                <w:rFonts w:hint="eastAsia"/>
                <w:sz w:val="18"/>
              </w:rPr>
              <w:t xml:space="preserve">　　　　　</w:t>
            </w:r>
            <w:r>
              <w:rPr>
                <w:rFonts w:ascii="Cambria" w:eastAsia="Cambria" w:hAnsi="Cambria" w:cs="Cambria"/>
                <w:sz w:val="18"/>
              </w:rPr>
              <w:t>100</w:t>
            </w:r>
            <w:r>
              <w:rPr>
                <w:sz w:val="21"/>
              </w:rPr>
              <w:t xml:space="preserve"> </w:t>
            </w:r>
            <w:r>
              <w:rPr>
                <w:sz w:val="18"/>
              </w:rPr>
              <w:t>管路延長</w:t>
            </w:r>
          </w:p>
        </w:tc>
      </w:tr>
    </w:tbl>
    <w:p w14:paraId="52A7AD00" w14:textId="77777777" w:rsidR="00D30E86" w:rsidRDefault="001A3FAC">
      <w:pPr>
        <w:spacing w:after="51" w:line="259" w:lineRule="auto"/>
        <w:ind w:left="-15" w:firstLine="0"/>
      </w:pPr>
      <w:r>
        <w:t xml:space="preserve">【指標の意味】 </w:t>
      </w:r>
    </w:p>
    <w:p w14:paraId="05A4B88A" w14:textId="77777777" w:rsidR="00D30E86" w:rsidRDefault="001A3FAC">
      <w:pPr>
        <w:spacing w:after="51" w:line="259" w:lineRule="auto"/>
        <w:ind w:left="220" w:firstLine="0"/>
      </w:pPr>
      <w:r>
        <w:t xml:space="preserve">当該年度に更新した管路延長の割合を表す指標で、管路の更新ペースや状況を把握できる。 </w:t>
      </w:r>
    </w:p>
    <w:p w14:paraId="1B4829F3" w14:textId="77777777" w:rsidR="00D30E86" w:rsidRDefault="001A3FAC">
      <w:pPr>
        <w:spacing w:after="51" w:line="259" w:lineRule="auto"/>
        <w:ind w:left="-15" w:firstLine="0"/>
      </w:pPr>
      <w:r>
        <w:t xml:space="preserve">【分析の考え方】 </w:t>
      </w:r>
    </w:p>
    <w:p w14:paraId="3A7E2260" w14:textId="77777777" w:rsidR="00D30E86" w:rsidRDefault="001A3FAC">
      <w:pPr>
        <w:ind w:left="-15"/>
      </w:pPr>
      <w:r>
        <w:t xml:space="preserve">当該指標については、明確な基準はないと考えられるが、数値が2.5％の場合、全ての管路を更新するのに 40 年かかる更新ペースであることが把握できる。数値が低い場合、耐震性や、今後の更新投資の見通しを含め、対外的に説明できることが求められる。 </w:t>
      </w:r>
    </w:p>
    <w:p w14:paraId="13F98136" w14:textId="77777777" w:rsidR="00D30E86" w:rsidRDefault="001A3FAC">
      <w:pPr>
        <w:ind w:left="-15"/>
      </w:pPr>
      <w:r>
        <w:t xml:space="preserve">また、当該指標の分析には、他の老朽化の状況を示す指標である有形固定資産減価償却率や管路経年化率の状況を踏まえ分析する必要があると考えられ、管路の更新等の必要性が高い場合などには、更新等の財源の確保や経営に与える影響等を踏まえた分析を行い、必要に応じて経営改善の実施や投資計画等の見直しなどを行う必要がある。 </w:t>
      </w:r>
    </w:p>
    <w:p w14:paraId="65DEC144" w14:textId="77777777" w:rsidR="00D30E86" w:rsidRDefault="001A3FAC">
      <w:pPr>
        <w:ind w:left="-15"/>
      </w:pPr>
      <w:r>
        <w:t>なお、供用開始から日が浅い、既に多くの管路の更新が終了している等の団体においては、分析の際に、それらの効果についても留意が必要である。</w:t>
      </w:r>
      <w:r>
        <w:rPr>
          <w:rFonts w:ascii="Century" w:eastAsia="Century" w:hAnsi="Century" w:cs="Century"/>
          <w:sz w:val="21"/>
        </w:rPr>
        <w:t xml:space="preserve"> </w:t>
      </w:r>
    </w:p>
    <w:p w14:paraId="2DA946F0" w14:textId="77777777" w:rsidR="00D30E86" w:rsidRDefault="001A3FAC">
      <w:pPr>
        <w:spacing w:after="92" w:line="259" w:lineRule="auto"/>
        <w:ind w:firstLine="0"/>
      </w:pPr>
      <w:r>
        <w:rPr>
          <w:rFonts w:ascii="Century" w:eastAsia="Century" w:hAnsi="Century" w:cs="Century"/>
          <w:sz w:val="21"/>
        </w:rPr>
        <w:t xml:space="preserve"> </w:t>
      </w:r>
    </w:p>
    <w:p w14:paraId="52133AFB" w14:textId="77777777" w:rsidR="00D30E86" w:rsidRDefault="001A3FAC">
      <w:pPr>
        <w:pStyle w:val="1"/>
        <w:numPr>
          <w:ilvl w:val="0"/>
          <w:numId w:val="0"/>
        </w:numPr>
        <w:ind w:left="-5"/>
      </w:pPr>
      <w:r>
        <w:t xml:space="preserve">（参考）各指標の組合せによる分析の考え方 </w:t>
      </w:r>
    </w:p>
    <w:tbl>
      <w:tblPr>
        <w:tblStyle w:val="TableGrid"/>
        <w:tblW w:w="9319" w:type="dxa"/>
        <w:tblInd w:w="-107" w:type="dxa"/>
        <w:tblCellMar>
          <w:top w:w="85" w:type="dxa"/>
          <w:left w:w="107" w:type="dxa"/>
          <w:right w:w="104" w:type="dxa"/>
        </w:tblCellMar>
        <w:tblLook w:val="04A0" w:firstRow="1" w:lastRow="0" w:firstColumn="1" w:lastColumn="0" w:noHBand="0" w:noVBand="1"/>
      </w:tblPr>
      <w:tblGrid>
        <w:gridCol w:w="3509"/>
        <w:gridCol w:w="5810"/>
      </w:tblGrid>
      <w:tr w:rsidR="00D30E86" w14:paraId="0E7703CA" w14:textId="77777777">
        <w:trPr>
          <w:trHeight w:val="36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46CA8833" w14:textId="77777777" w:rsidR="00D30E86" w:rsidRDefault="001A3FAC">
            <w:pPr>
              <w:spacing w:after="0" w:line="259" w:lineRule="auto"/>
              <w:ind w:firstLine="0"/>
            </w:pPr>
            <w:r>
              <w:rPr>
                <w:rFonts w:ascii="ＭＳ ゴシック" w:eastAsia="ＭＳ ゴシック" w:hAnsi="ＭＳ ゴシック" w:cs="ＭＳ ゴシック"/>
                <w:sz w:val="20"/>
              </w:rPr>
              <w:t xml:space="preserve">指標 </w:t>
            </w:r>
          </w:p>
        </w:tc>
        <w:tc>
          <w:tcPr>
            <w:tcW w:w="5810" w:type="dxa"/>
            <w:tcBorders>
              <w:top w:val="single" w:sz="4" w:space="0" w:color="000000"/>
              <w:left w:val="single" w:sz="4" w:space="0" w:color="000000"/>
              <w:bottom w:val="single" w:sz="4" w:space="0" w:color="000000"/>
              <w:right w:val="single" w:sz="4" w:space="0" w:color="000000"/>
            </w:tcBorders>
            <w:shd w:val="clear" w:color="auto" w:fill="FDE9D9"/>
          </w:tcPr>
          <w:p w14:paraId="62D7DE46" w14:textId="77777777" w:rsidR="00D30E86" w:rsidRDefault="001A3FAC">
            <w:pPr>
              <w:spacing w:after="0" w:line="259" w:lineRule="auto"/>
              <w:ind w:left="1" w:firstLine="0"/>
            </w:pPr>
            <w:r>
              <w:rPr>
                <w:rFonts w:ascii="ＭＳ ゴシック" w:eastAsia="ＭＳ ゴシック" w:hAnsi="ＭＳ ゴシック" w:cs="ＭＳ ゴシック"/>
                <w:sz w:val="20"/>
              </w:rPr>
              <w:t xml:space="preserve">分析の考え方 </w:t>
            </w:r>
          </w:p>
        </w:tc>
      </w:tr>
      <w:tr w:rsidR="00D30E86" w14:paraId="53A65589" w14:textId="77777777">
        <w:trPr>
          <w:trHeight w:val="371"/>
        </w:trPr>
        <w:tc>
          <w:tcPr>
            <w:tcW w:w="9319" w:type="dxa"/>
            <w:gridSpan w:val="2"/>
            <w:tcBorders>
              <w:top w:val="single" w:sz="4" w:space="0" w:color="000000"/>
              <w:left w:val="single" w:sz="4" w:space="0" w:color="000000"/>
              <w:bottom w:val="single" w:sz="4" w:space="0" w:color="000000"/>
              <w:right w:val="single" w:sz="4" w:space="0" w:color="000000"/>
            </w:tcBorders>
          </w:tcPr>
          <w:p w14:paraId="06D9267E" w14:textId="77777777" w:rsidR="00D30E86" w:rsidRDefault="001A3FAC">
            <w:pPr>
              <w:spacing w:after="0" w:line="259" w:lineRule="auto"/>
              <w:ind w:firstLine="0"/>
            </w:pPr>
            <w:r>
              <w:rPr>
                <w:rFonts w:ascii="ＭＳ ゴシック" w:eastAsia="ＭＳ ゴシック" w:hAnsi="ＭＳ ゴシック" w:cs="ＭＳ ゴシック"/>
                <w:sz w:val="20"/>
              </w:rPr>
              <w:t xml:space="preserve">1．経営の健全性・効率性及び2．老朽化の状況 </w:t>
            </w:r>
          </w:p>
        </w:tc>
      </w:tr>
      <w:tr w:rsidR="00D30E86" w14:paraId="1C215D3C" w14:textId="77777777">
        <w:trPr>
          <w:trHeight w:val="1810"/>
        </w:trPr>
        <w:tc>
          <w:tcPr>
            <w:tcW w:w="3509" w:type="dxa"/>
            <w:tcBorders>
              <w:top w:val="single" w:sz="4" w:space="0" w:color="000000"/>
              <w:left w:val="single" w:sz="4" w:space="0" w:color="000000"/>
              <w:bottom w:val="single" w:sz="4" w:space="0" w:color="000000"/>
              <w:right w:val="single" w:sz="4" w:space="0" w:color="000000"/>
            </w:tcBorders>
          </w:tcPr>
          <w:p w14:paraId="2F2C5797" w14:textId="77777777" w:rsidR="00D30E86" w:rsidRDefault="001A3FAC">
            <w:pPr>
              <w:spacing w:after="93" w:line="259" w:lineRule="auto"/>
              <w:ind w:firstLine="0"/>
            </w:pPr>
            <w:r>
              <w:rPr>
                <w:sz w:val="20"/>
              </w:rPr>
              <w:lastRenderedPageBreak/>
              <w:t>①経常収支比率</w:t>
            </w:r>
            <w:r>
              <w:rPr>
                <w:rFonts w:ascii="Century" w:eastAsia="Century" w:hAnsi="Century" w:cs="Century"/>
                <w:sz w:val="20"/>
              </w:rPr>
              <w:t xml:space="preserve"> </w:t>
            </w:r>
          </w:p>
          <w:p w14:paraId="53290822" w14:textId="77777777" w:rsidR="00D30E86" w:rsidRDefault="001A3FAC">
            <w:pPr>
              <w:spacing w:after="94" w:line="259" w:lineRule="auto"/>
              <w:ind w:firstLine="0"/>
            </w:pPr>
            <w:r>
              <w:rPr>
                <w:sz w:val="20"/>
              </w:rPr>
              <w:t>①有形固定資産減価償却率</w:t>
            </w:r>
            <w:r>
              <w:rPr>
                <w:rFonts w:ascii="Century" w:eastAsia="Century" w:hAnsi="Century" w:cs="Century"/>
                <w:sz w:val="20"/>
              </w:rPr>
              <w:t xml:space="preserve"> </w:t>
            </w:r>
          </w:p>
          <w:p w14:paraId="6829D6BE" w14:textId="77777777" w:rsidR="00D30E86" w:rsidRDefault="001A3FAC">
            <w:pPr>
              <w:spacing w:after="94" w:line="259" w:lineRule="auto"/>
              <w:ind w:firstLine="0"/>
            </w:pPr>
            <w:r>
              <w:rPr>
                <w:sz w:val="20"/>
              </w:rPr>
              <w:t>②管路経年化率</w:t>
            </w:r>
            <w:r>
              <w:rPr>
                <w:rFonts w:ascii="Century" w:eastAsia="Century" w:hAnsi="Century" w:cs="Century"/>
                <w:sz w:val="20"/>
              </w:rPr>
              <w:t xml:space="preserve"> </w:t>
            </w:r>
          </w:p>
          <w:p w14:paraId="2820216C" w14:textId="77777777" w:rsidR="00D30E86" w:rsidRDefault="001A3FAC">
            <w:pPr>
              <w:spacing w:after="0" w:line="259" w:lineRule="auto"/>
              <w:ind w:firstLine="0"/>
            </w:pPr>
            <w:r>
              <w:rPr>
                <w:sz w:val="20"/>
              </w:rPr>
              <w:t>③管路更新率</w:t>
            </w:r>
            <w:r>
              <w:rPr>
                <w:rFonts w:ascii="Century" w:eastAsia="Century" w:hAnsi="Century" w:cs="Century"/>
                <w:color w:val="FF0000"/>
                <w:sz w:val="20"/>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73AF0360" w14:textId="77777777" w:rsidR="00D30E86" w:rsidRDefault="001A3FAC">
            <w:pPr>
              <w:spacing w:after="0" w:line="259" w:lineRule="auto"/>
              <w:ind w:left="1" w:firstLine="200"/>
            </w:pPr>
            <w:r>
              <w:rPr>
                <w:sz w:val="20"/>
              </w:rPr>
              <w:t>経常収支比率が高い場合でも、有形固定資産減価償却率・管路経年化率が高い、管路更新率が低い場合には、（計画的に長寿命化している場合でなければ、）必要な更新投資を先送りにしている可能性があるため、老朽化対策等、投資のあり方について検討する必要がある。</w:t>
            </w:r>
            <w:r>
              <w:rPr>
                <w:rFonts w:ascii="Century" w:eastAsia="Century" w:hAnsi="Century" w:cs="Century"/>
                <w:color w:val="FF0000"/>
                <w:sz w:val="20"/>
              </w:rPr>
              <w:t xml:space="preserve"> </w:t>
            </w:r>
          </w:p>
        </w:tc>
      </w:tr>
      <w:tr w:rsidR="00D30E86" w14:paraId="444AAA6A" w14:textId="77777777">
        <w:trPr>
          <w:trHeight w:val="371"/>
        </w:trPr>
        <w:tc>
          <w:tcPr>
            <w:tcW w:w="9319" w:type="dxa"/>
            <w:gridSpan w:val="2"/>
            <w:tcBorders>
              <w:top w:val="single" w:sz="4" w:space="0" w:color="000000"/>
              <w:left w:val="single" w:sz="4" w:space="0" w:color="000000"/>
              <w:bottom w:val="single" w:sz="4" w:space="0" w:color="000000"/>
              <w:right w:val="single" w:sz="4" w:space="0" w:color="000000"/>
            </w:tcBorders>
          </w:tcPr>
          <w:p w14:paraId="470274E1" w14:textId="77777777" w:rsidR="00D30E86" w:rsidRDefault="001A3FAC">
            <w:pPr>
              <w:spacing w:after="0" w:line="259" w:lineRule="auto"/>
              <w:ind w:firstLine="0"/>
            </w:pPr>
            <w:r>
              <w:rPr>
                <w:rFonts w:ascii="ＭＳ ゴシック" w:eastAsia="ＭＳ ゴシック" w:hAnsi="ＭＳ ゴシック" w:cs="ＭＳ ゴシック"/>
                <w:sz w:val="20"/>
              </w:rPr>
              <w:t xml:space="preserve">1．経営の健全性・効率性 </w:t>
            </w:r>
          </w:p>
        </w:tc>
      </w:tr>
      <w:tr w:rsidR="00D30E86" w14:paraId="7143BE8B" w14:textId="77777777">
        <w:trPr>
          <w:trHeight w:val="730"/>
        </w:trPr>
        <w:tc>
          <w:tcPr>
            <w:tcW w:w="3509" w:type="dxa"/>
            <w:tcBorders>
              <w:top w:val="single" w:sz="4" w:space="0" w:color="000000"/>
              <w:left w:val="single" w:sz="4" w:space="0" w:color="000000"/>
              <w:bottom w:val="single" w:sz="4" w:space="0" w:color="000000"/>
              <w:right w:val="single" w:sz="4" w:space="0" w:color="000000"/>
            </w:tcBorders>
          </w:tcPr>
          <w:p w14:paraId="7F7873B4" w14:textId="77777777" w:rsidR="00D30E86" w:rsidRDefault="001A3FAC">
            <w:pPr>
              <w:spacing w:after="94" w:line="259" w:lineRule="auto"/>
              <w:ind w:firstLine="0"/>
            </w:pPr>
            <w:r>
              <w:rPr>
                <w:sz w:val="20"/>
              </w:rPr>
              <w:t>①経常収支比率</w:t>
            </w:r>
            <w:r>
              <w:rPr>
                <w:rFonts w:ascii="Century" w:eastAsia="Century" w:hAnsi="Century" w:cs="Century"/>
                <w:sz w:val="20"/>
              </w:rPr>
              <w:t xml:space="preserve"> </w:t>
            </w:r>
          </w:p>
          <w:p w14:paraId="4AFBC05E" w14:textId="77777777" w:rsidR="00D30E86" w:rsidRDefault="001A3FAC">
            <w:pPr>
              <w:spacing w:after="0" w:line="259" w:lineRule="auto"/>
              <w:ind w:firstLine="0"/>
            </w:pPr>
            <w:r>
              <w:rPr>
                <w:sz w:val="20"/>
              </w:rPr>
              <w:t>②累積欠損金比率</w:t>
            </w:r>
            <w:r>
              <w:rPr>
                <w:rFonts w:ascii="Century" w:eastAsia="Century" w:hAnsi="Century" w:cs="Century"/>
                <w:sz w:val="20"/>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370FB948" w14:textId="77777777" w:rsidR="00D30E86" w:rsidRDefault="001A3FAC">
            <w:pPr>
              <w:spacing w:after="0" w:line="259" w:lineRule="auto"/>
              <w:ind w:left="1" w:firstLine="200"/>
            </w:pPr>
            <w:r>
              <w:rPr>
                <w:sz w:val="20"/>
              </w:rPr>
              <w:t>経常収支比率が 100％以上となっていても、累積欠損金比率が高い場合は、引き続き経営改善を図っていく必要がある。</w:t>
            </w:r>
            <w:r>
              <w:rPr>
                <w:rFonts w:ascii="Century" w:eastAsia="Century" w:hAnsi="Century" w:cs="Century"/>
                <w:sz w:val="20"/>
              </w:rPr>
              <w:t xml:space="preserve"> </w:t>
            </w:r>
          </w:p>
        </w:tc>
      </w:tr>
      <w:tr w:rsidR="00D30E86" w14:paraId="36E48084" w14:textId="77777777">
        <w:trPr>
          <w:trHeight w:val="1090"/>
        </w:trPr>
        <w:tc>
          <w:tcPr>
            <w:tcW w:w="3509" w:type="dxa"/>
            <w:tcBorders>
              <w:top w:val="single" w:sz="4" w:space="0" w:color="000000"/>
              <w:left w:val="single" w:sz="4" w:space="0" w:color="000000"/>
              <w:bottom w:val="single" w:sz="4" w:space="0" w:color="000000"/>
              <w:right w:val="single" w:sz="4" w:space="0" w:color="000000"/>
            </w:tcBorders>
          </w:tcPr>
          <w:p w14:paraId="4EF1CDF6" w14:textId="77777777" w:rsidR="00D30E86" w:rsidRDefault="001A3FAC">
            <w:pPr>
              <w:spacing w:after="93" w:line="259" w:lineRule="auto"/>
              <w:ind w:firstLine="0"/>
            </w:pPr>
            <w:r>
              <w:rPr>
                <w:sz w:val="20"/>
              </w:rPr>
              <w:t>①経常収支比率</w:t>
            </w:r>
            <w:r>
              <w:rPr>
                <w:rFonts w:ascii="Century" w:eastAsia="Century" w:hAnsi="Century" w:cs="Century"/>
                <w:sz w:val="20"/>
              </w:rPr>
              <w:t xml:space="preserve"> </w:t>
            </w:r>
          </w:p>
          <w:p w14:paraId="2D772CC3" w14:textId="77777777" w:rsidR="00D30E86" w:rsidRDefault="001A3FAC">
            <w:pPr>
              <w:spacing w:after="0" w:line="259" w:lineRule="auto"/>
              <w:ind w:firstLine="0"/>
            </w:pPr>
            <w:r>
              <w:rPr>
                <w:sz w:val="20"/>
              </w:rPr>
              <w:t>⑤料金回収率</w:t>
            </w:r>
            <w:r>
              <w:rPr>
                <w:rFonts w:ascii="ＭＳ ゴシック" w:eastAsia="ＭＳ ゴシック" w:hAnsi="ＭＳ ゴシック" w:cs="ＭＳ ゴシック"/>
                <w:sz w:val="20"/>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4FFCF8E0" w14:textId="77777777" w:rsidR="00D30E86" w:rsidRDefault="001A3FAC">
            <w:pPr>
              <w:spacing w:after="0" w:line="259" w:lineRule="auto"/>
              <w:ind w:left="1" w:firstLine="200"/>
            </w:pPr>
            <w:r>
              <w:rPr>
                <w:sz w:val="20"/>
              </w:rPr>
              <w:t>経常収支比率が高くても、料金回収率が低い場合には、給水収益以外の収入で賄われていることを意味することから、必要に応じて料金の見直しを検討する必要がある。</w:t>
            </w:r>
            <w:r>
              <w:rPr>
                <w:rFonts w:ascii="Century" w:eastAsia="Century" w:hAnsi="Century" w:cs="Century"/>
                <w:sz w:val="20"/>
              </w:rPr>
              <w:t xml:space="preserve"> </w:t>
            </w:r>
          </w:p>
        </w:tc>
      </w:tr>
      <w:tr w:rsidR="00D30E86" w14:paraId="1D732630" w14:textId="77777777">
        <w:trPr>
          <w:trHeight w:val="1091"/>
        </w:trPr>
        <w:tc>
          <w:tcPr>
            <w:tcW w:w="3509" w:type="dxa"/>
            <w:tcBorders>
              <w:top w:val="single" w:sz="4" w:space="0" w:color="000000"/>
              <w:left w:val="single" w:sz="4" w:space="0" w:color="000000"/>
              <w:bottom w:val="single" w:sz="4" w:space="0" w:color="000000"/>
              <w:right w:val="single" w:sz="4" w:space="0" w:color="000000"/>
            </w:tcBorders>
          </w:tcPr>
          <w:p w14:paraId="77232B4E" w14:textId="77777777" w:rsidR="00D30E86" w:rsidRDefault="001A3FAC">
            <w:pPr>
              <w:spacing w:after="94" w:line="259" w:lineRule="auto"/>
              <w:ind w:firstLine="0"/>
            </w:pPr>
            <w:r>
              <w:rPr>
                <w:sz w:val="20"/>
              </w:rPr>
              <w:t>⑦施設利用率</w:t>
            </w:r>
            <w:r>
              <w:rPr>
                <w:rFonts w:ascii="Century" w:eastAsia="Century" w:hAnsi="Century" w:cs="Century"/>
                <w:sz w:val="20"/>
              </w:rPr>
              <w:t xml:space="preserve"> </w:t>
            </w:r>
          </w:p>
          <w:p w14:paraId="1B4149FF" w14:textId="77777777" w:rsidR="00D30E86" w:rsidRDefault="001A3FAC">
            <w:pPr>
              <w:spacing w:after="0" w:line="259" w:lineRule="auto"/>
              <w:ind w:firstLine="0"/>
            </w:pPr>
            <w:r>
              <w:rPr>
                <w:sz w:val="20"/>
              </w:rPr>
              <w:t>⑧契約率</w:t>
            </w:r>
            <w:r>
              <w:rPr>
                <w:rFonts w:ascii="Century" w:eastAsia="Century" w:hAnsi="Century" w:cs="Century"/>
                <w:sz w:val="20"/>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32C07C73" w14:textId="77777777" w:rsidR="00D30E86" w:rsidRDefault="001A3FAC">
            <w:pPr>
              <w:spacing w:after="0" w:line="259" w:lineRule="auto"/>
              <w:ind w:left="1" w:firstLine="200"/>
            </w:pPr>
            <w:r>
              <w:rPr>
                <w:sz w:val="20"/>
              </w:rPr>
              <w:t>契約率が高く、施設利用率が低水準にある場合、実使用水量に対し契約水量が乖離していることを意味することから、今後、施設規模等の見直しを検討する必要がある。</w:t>
            </w:r>
            <w:r>
              <w:rPr>
                <w:rFonts w:ascii="Century" w:eastAsia="Century" w:hAnsi="Century" w:cs="Century"/>
                <w:sz w:val="20"/>
              </w:rPr>
              <w:t xml:space="preserve"> </w:t>
            </w:r>
          </w:p>
        </w:tc>
      </w:tr>
      <w:tr w:rsidR="00D30E86" w14:paraId="66B4D342" w14:textId="77777777">
        <w:trPr>
          <w:trHeight w:val="370"/>
        </w:trPr>
        <w:tc>
          <w:tcPr>
            <w:tcW w:w="9319" w:type="dxa"/>
            <w:gridSpan w:val="2"/>
            <w:tcBorders>
              <w:top w:val="single" w:sz="4" w:space="0" w:color="000000"/>
              <w:left w:val="single" w:sz="4" w:space="0" w:color="000000"/>
              <w:bottom w:val="single" w:sz="4" w:space="0" w:color="000000"/>
              <w:right w:val="single" w:sz="4" w:space="0" w:color="000000"/>
            </w:tcBorders>
          </w:tcPr>
          <w:p w14:paraId="658CD42E" w14:textId="77777777" w:rsidR="00D30E86" w:rsidRDefault="001A3FAC">
            <w:pPr>
              <w:spacing w:after="0" w:line="259" w:lineRule="auto"/>
              <w:ind w:firstLine="0"/>
            </w:pPr>
            <w:r>
              <w:rPr>
                <w:rFonts w:ascii="ＭＳ ゴシック" w:eastAsia="ＭＳ ゴシック" w:hAnsi="ＭＳ ゴシック" w:cs="ＭＳ ゴシック"/>
                <w:sz w:val="20"/>
              </w:rPr>
              <w:t xml:space="preserve">2．老朽化の状況 </w:t>
            </w:r>
          </w:p>
        </w:tc>
      </w:tr>
      <w:tr w:rsidR="00D30E86" w14:paraId="4A697A19" w14:textId="77777777">
        <w:trPr>
          <w:trHeight w:val="1091"/>
        </w:trPr>
        <w:tc>
          <w:tcPr>
            <w:tcW w:w="3509" w:type="dxa"/>
            <w:tcBorders>
              <w:top w:val="single" w:sz="4" w:space="0" w:color="000000"/>
              <w:left w:val="single" w:sz="4" w:space="0" w:color="000000"/>
              <w:bottom w:val="single" w:sz="4" w:space="0" w:color="000000"/>
              <w:right w:val="single" w:sz="4" w:space="0" w:color="000000"/>
            </w:tcBorders>
          </w:tcPr>
          <w:p w14:paraId="4219700E" w14:textId="77777777" w:rsidR="00D30E86" w:rsidRDefault="001A3FAC">
            <w:pPr>
              <w:spacing w:after="94" w:line="259" w:lineRule="auto"/>
              <w:ind w:firstLine="0"/>
            </w:pPr>
            <w:r>
              <w:rPr>
                <w:sz w:val="20"/>
              </w:rPr>
              <w:t>②管路経年化率</w:t>
            </w:r>
            <w:r>
              <w:rPr>
                <w:rFonts w:ascii="Century" w:eastAsia="Century" w:hAnsi="Century" w:cs="Century"/>
                <w:sz w:val="20"/>
              </w:rPr>
              <w:t xml:space="preserve"> </w:t>
            </w:r>
          </w:p>
          <w:p w14:paraId="64ECA432" w14:textId="77777777" w:rsidR="00D30E86" w:rsidRDefault="001A3FAC">
            <w:pPr>
              <w:spacing w:after="0" w:line="259" w:lineRule="auto"/>
              <w:ind w:firstLine="0"/>
            </w:pPr>
            <w:r>
              <w:rPr>
                <w:sz w:val="20"/>
              </w:rPr>
              <w:t>③管路更新率</w:t>
            </w:r>
            <w:r>
              <w:rPr>
                <w:rFonts w:ascii="Century" w:eastAsia="Century" w:hAnsi="Century" w:cs="Century"/>
                <w:sz w:val="20"/>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65640D92" w14:textId="77777777" w:rsidR="00D30E86" w:rsidRDefault="001A3FAC">
            <w:pPr>
              <w:spacing w:after="0" w:line="259" w:lineRule="auto"/>
              <w:ind w:left="1" w:firstLine="200"/>
              <w:jc w:val="both"/>
            </w:pPr>
            <w:r>
              <w:rPr>
                <w:sz w:val="20"/>
              </w:rPr>
              <w:t>管路経年化率が高い、且つ、管路更新率が低い場合は、管路の更新投資を増やす必要性が高いため、早急な検討が必要である。</w:t>
            </w:r>
            <w:r>
              <w:rPr>
                <w:rFonts w:ascii="ＭＳ ゴシック" w:eastAsia="ＭＳ ゴシック" w:hAnsi="ＭＳ ゴシック" w:cs="ＭＳ ゴシック"/>
                <w:sz w:val="20"/>
              </w:rPr>
              <w:t xml:space="preserve"> </w:t>
            </w:r>
          </w:p>
        </w:tc>
      </w:tr>
    </w:tbl>
    <w:p w14:paraId="4B7DE5AD" w14:textId="77777777" w:rsidR="00D30E86" w:rsidRDefault="001A3FAC">
      <w:pPr>
        <w:spacing w:after="0" w:line="259" w:lineRule="auto"/>
        <w:ind w:firstLine="0"/>
      </w:pPr>
      <w:r>
        <w:rPr>
          <w:rFonts w:ascii="Century" w:eastAsia="Century" w:hAnsi="Century" w:cs="Century"/>
          <w:sz w:val="21"/>
        </w:rPr>
        <w:t xml:space="preserve"> </w:t>
      </w:r>
    </w:p>
    <w:sectPr w:rsidR="00D30E86">
      <w:footerReference w:type="even" r:id="rId7"/>
      <w:footerReference w:type="default" r:id="rId8"/>
      <w:footerReference w:type="first" r:id="rId9"/>
      <w:pgSz w:w="11904" w:h="16840"/>
      <w:pgMar w:top="1140" w:right="1020" w:bottom="1239" w:left="1134"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2EDC" w14:textId="77777777" w:rsidR="004A2C3D" w:rsidRDefault="004A2C3D">
      <w:pPr>
        <w:spacing w:after="0" w:line="240" w:lineRule="auto"/>
      </w:pPr>
      <w:r>
        <w:separator/>
      </w:r>
    </w:p>
  </w:endnote>
  <w:endnote w:type="continuationSeparator" w:id="0">
    <w:p w14:paraId="0616DD7A" w14:textId="77777777" w:rsidR="004A2C3D" w:rsidRDefault="004A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30F3" w14:textId="77777777" w:rsidR="00D30E86" w:rsidRDefault="001A3FAC">
    <w:pPr>
      <w:spacing w:after="0" w:line="259" w:lineRule="auto"/>
      <w:ind w:right="11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AD89" w14:textId="77777777" w:rsidR="00D30E86" w:rsidRDefault="001A3FAC">
    <w:pPr>
      <w:spacing w:after="0" w:line="259" w:lineRule="auto"/>
      <w:ind w:right="11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F168" w14:textId="77777777" w:rsidR="00D30E86" w:rsidRDefault="001A3FAC">
    <w:pPr>
      <w:spacing w:after="0" w:line="259" w:lineRule="auto"/>
      <w:ind w:right="11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132F" w14:textId="77777777" w:rsidR="004A2C3D" w:rsidRDefault="004A2C3D">
      <w:pPr>
        <w:spacing w:after="0" w:line="240" w:lineRule="auto"/>
      </w:pPr>
      <w:r>
        <w:separator/>
      </w:r>
    </w:p>
  </w:footnote>
  <w:footnote w:type="continuationSeparator" w:id="0">
    <w:p w14:paraId="4F48C6FB" w14:textId="77777777" w:rsidR="004A2C3D" w:rsidRDefault="004A2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75888"/>
    <w:multiLevelType w:val="hybridMultilevel"/>
    <w:tmpl w:val="244A6EC4"/>
    <w:lvl w:ilvl="0" w:tplc="D7207324">
      <w:start w:val="1"/>
      <w:numFmt w:val="decimal"/>
      <w:pStyle w:val="1"/>
      <w:lvlText w:val="%1．"/>
      <w:lvlJc w:val="left"/>
      <w:pPr>
        <w:ind w:left="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A6048EF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5DC7F6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D6C2614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7286D94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D868CF4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A56CD28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3BCA14B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3E883B8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E86"/>
    <w:rsid w:val="001A3FAC"/>
    <w:rsid w:val="0023327B"/>
    <w:rsid w:val="004A2C3D"/>
    <w:rsid w:val="004B40E5"/>
    <w:rsid w:val="00B20641"/>
    <w:rsid w:val="00D30E86"/>
    <w:rsid w:val="00EF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261E1"/>
  <w15:docId w15:val="{606CE00B-B3FF-4F44-AAA0-8EA45C2D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12" w:lineRule="auto"/>
      <w:ind w:firstLine="210"/>
    </w:pPr>
    <w:rPr>
      <w:rFonts w:ascii="ＭＳ 明朝" w:eastAsia="ＭＳ 明朝" w:hAnsi="ＭＳ 明朝" w:cs="ＭＳ 明朝"/>
      <w:color w:val="000000"/>
      <w:sz w:val="22"/>
    </w:rPr>
  </w:style>
  <w:style w:type="paragraph" w:styleId="1">
    <w:name w:val="heading 1"/>
    <w:next w:val="a"/>
    <w:link w:val="10"/>
    <w:uiPriority w:val="9"/>
    <w:qFormat/>
    <w:pPr>
      <w:keepNext/>
      <w:keepLines/>
      <w:numPr>
        <w:numId w:val="1"/>
      </w:numPr>
      <w:spacing w:line="259" w:lineRule="auto"/>
      <w:ind w:left="10" w:hanging="10"/>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F5AC9"/>
    <w:pPr>
      <w:tabs>
        <w:tab w:val="center" w:pos="4252"/>
        <w:tab w:val="right" w:pos="8504"/>
      </w:tabs>
      <w:snapToGrid w:val="0"/>
    </w:pPr>
  </w:style>
  <w:style w:type="character" w:customStyle="1" w:styleId="a4">
    <w:name w:val="ヘッダー (文字)"/>
    <w:basedOn w:val="a0"/>
    <w:link w:val="a3"/>
    <w:uiPriority w:val="99"/>
    <w:rsid w:val="00EF5AC9"/>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&lt;4D6963726F736F667420576F7264202D208DCF5F3035208C6F89638E77955782CC8A54977681698D488BC69770908593B98E968BC6816A202E646F6378&gt;</dc:title>
  <dc:subject/>
  <dc:creator>911856</dc:creator>
  <cp:keywords/>
  <cp:lastModifiedBy>田村　修平</cp:lastModifiedBy>
  <cp:revision>6</cp:revision>
  <dcterms:created xsi:type="dcterms:W3CDTF">2022-09-21T05:20:00Z</dcterms:created>
  <dcterms:modified xsi:type="dcterms:W3CDTF">2022-09-22T00:40:00Z</dcterms:modified>
</cp:coreProperties>
</file>