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1" w:lineRule="exact"/>
        <w:jc w:val="both"/>
        <w:rPr>
          <w:rFonts w:hint="eastAsia"/>
        </w:rPr>
      </w:pPr>
      <w:bookmarkStart w:id="0" w:name="_GoBack"/>
      <w:bookmarkEnd w:id="0"/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Ｐゴシック"/>
          <w:b w:val="1"/>
          <w:color w:val="000000"/>
          <w:spacing w:val="6"/>
          <w:w w:val="100"/>
          <w:sz w:val="32"/>
        </w:rPr>
        <w:t>２</w:t>
      </w:r>
      <w:r>
        <w:rPr>
          <w:rFonts w:hint="eastAsia" w:ascii="ＭＳ 明朝" w:hAnsi="ＭＳ 明朝" w:eastAsia="ＭＳ Ｐゴシック"/>
          <w:b w:val="1"/>
          <w:color w:val="000000"/>
          <w:spacing w:val="6"/>
          <w:w w:val="151"/>
          <w:sz w:val="32"/>
        </w:rPr>
        <w:t>　</w:t>
      </w:r>
      <w:r>
        <w:rPr>
          <w:rFonts w:hint="eastAsia" w:ascii="ＭＳ 明朝" w:hAnsi="ＭＳ 明朝" w:eastAsia="ＭＳ Ｐゴシック"/>
          <w:b w:val="1"/>
          <w:color w:val="000000"/>
          <w:spacing w:val="6"/>
          <w:w w:val="100"/>
          <w:sz w:val="32"/>
        </w:rPr>
        <w:t>決算の概況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</w:p>
    <w:p>
      <w:pPr>
        <w:pStyle w:val="0"/>
        <w:adjustRightInd w:val="1"/>
        <w:spacing w:line="302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　</w:t>
      </w:r>
      <w:r>
        <w:rPr>
          <w:rFonts w:hint="eastAsia" w:ascii="ＭＳ ゴシック" w:hAnsi="ＭＳ ゴシック" w:eastAsia="ＭＳ 明朝"/>
          <w:b w:val="1"/>
          <w:color w:val="000000"/>
          <w:spacing w:val="0"/>
          <w:w w:val="100"/>
          <w:sz w:val="22"/>
        </w:rPr>
        <w:t>(1)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2"/>
        </w:rPr>
        <w:t>　一般会計</w:t>
      </w:r>
    </w:p>
    <w:p>
      <w:pPr>
        <w:pStyle w:val="0"/>
        <w:adjustRightInd w:val="1"/>
        <w:spacing w:line="302" w:lineRule="exact"/>
        <w:jc w:val="left"/>
        <w:rPr>
          <w:rFonts w:hint="eastAsia" w:ascii="ＭＳ ゴシック" w:hAnsi="ＭＳ ゴシック" w:eastAsia="ＭＳ ゴシック"/>
          <w:b w:val="0"/>
          <w:sz w:val="18"/>
        </w:rPr>
      </w:pPr>
      <w:r>
        <w:rPr>
          <w:rFonts w:hint="eastAsia" w:ascii="ＭＳ ゴシック" w:hAnsi="ＭＳ ゴシック" w:eastAsia="ＭＳ ゴシック"/>
          <w:b w:val="0"/>
          <w:sz w:val="18"/>
        </w:rPr>
        <w:t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6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3570"/>
        <w:gridCol w:w="2940"/>
        <w:gridCol w:w="2940"/>
        <w:gridCol w:w="2940"/>
      </w:tblGrid>
      <w:tr>
        <w:trPr/>
        <w:tc>
          <w:tcPr>
            <w:tcW w:w="357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区　　　　分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2 9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2 8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比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増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減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額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280"/>
                <w:fitText w:val="2520" w:id="1"/>
              </w:rPr>
              <w:t>予算現</w:t>
            </w:r>
            <w:r>
              <w:rPr>
                <w:rFonts w:hint="eastAsia" w:ascii="ＭＳ ゴシック" w:hAnsi="ＭＳ ゴシック" w:eastAsia="ＭＳ ゴシック"/>
                <w:b w:val="0"/>
                <w:fitText w:val="2520" w:id="1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676,904,499,492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654,620,720,979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22,283,778,513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2"/>
              </w:rPr>
              <w:t>歳入決算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2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608,541,223,928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609,753,698,347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1,212,474,419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3"/>
              </w:rPr>
              <w:t>歳出決算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3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599,968,600,202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602,258,902,699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2,290,302,497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87"/>
                <w:fitText w:val="2520" w:id="4"/>
              </w:rPr>
              <w:t>歳入歳出差引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4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8,572,623,726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7,494,795,648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1,077,828,078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翌年度へ繰り越すべき財源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3,257,167,395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2,333,623,833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923,543,562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5"/>
              </w:rPr>
              <w:t>実質収支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5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5,315,456,331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5,161,171,815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154,284,516 </w:t>
            </w:r>
          </w:p>
        </w:tc>
      </w:tr>
    </w:tbl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ind w:left="0" w:leftChars="100" w:firstLine="0" w:firstLineChars="10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平成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年度一般会計の歳入決算額は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6,085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4,122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3,928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6,097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5,369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8,347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12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1,247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4,419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(0.2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</w:p>
    <w:p>
      <w:pPr>
        <w:pStyle w:val="0"/>
        <w:adjustRightInd w:val="1"/>
        <w:ind w:left="210" w:leftChars="100" w:firstLine="0" w:firstLineChars="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また、歳出決算額は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5,999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6,860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202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6,022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5,890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2,699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9,030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2,497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(0.4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この結果、歳入歳出差引額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7,262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3,726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円から翌年度へ繰り越すべき財源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5,716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7,395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円を控除した平成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年度の実質収支は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b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1,545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6,331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円となり、前年度の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6,117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1,815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5,428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4,516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(3.0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spacing w:line="302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　</w:t>
      </w:r>
      <w:r>
        <w:rPr>
          <w:rFonts w:hint="eastAsia" w:ascii="ＭＳ ゴシック" w:hAnsi="ＭＳ ゴシック" w:eastAsia="ＭＳ 明朝"/>
          <w:b w:val="1"/>
          <w:color w:val="000000"/>
          <w:spacing w:val="0"/>
          <w:w w:val="100"/>
          <w:sz w:val="22"/>
        </w:rPr>
        <w:t>(2)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2"/>
        </w:rPr>
        <w:t>　特別会計</w:t>
      </w:r>
    </w:p>
    <w:p>
      <w:pPr>
        <w:pStyle w:val="0"/>
        <w:adjustRightInd w:val="1"/>
        <w:spacing w:line="302" w:lineRule="exact"/>
        <w:jc w:val="left"/>
        <w:rPr>
          <w:rFonts w:hint="eastAsia" w:ascii="ＭＳ ゴシック" w:hAnsi="ＭＳ ゴシック" w:eastAsia="ＭＳ ゴシック"/>
          <w:b w:val="0"/>
          <w:sz w:val="18"/>
        </w:rPr>
      </w:pPr>
      <w:r>
        <w:rPr>
          <w:rFonts w:hint="eastAsia" w:ascii="ＭＳ ゴシック" w:hAnsi="ＭＳ ゴシック" w:eastAsia="ＭＳ ゴシック"/>
          <w:b w:val="0"/>
          <w:sz w:val="18"/>
        </w:rPr>
        <w:t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6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3570"/>
        <w:gridCol w:w="2940"/>
        <w:gridCol w:w="2940"/>
        <w:gridCol w:w="2940"/>
      </w:tblGrid>
      <w:tr>
        <w:trPr/>
        <w:tc>
          <w:tcPr>
            <w:tcW w:w="357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区　　　　分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2 9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2 8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比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増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減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額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280"/>
                <w:fitText w:val="2520" w:id="6"/>
              </w:rPr>
              <w:t>予算現</w:t>
            </w:r>
            <w:r>
              <w:rPr>
                <w:rFonts w:hint="eastAsia" w:ascii="ＭＳ ゴシック" w:hAnsi="ＭＳ ゴシック" w:eastAsia="ＭＳ ゴシック"/>
                <w:b w:val="0"/>
                <w:fitText w:val="2520" w:id="6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175,158,775,657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215,561,217,520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40,402,441,863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7"/>
              </w:rPr>
              <w:t>歳入決算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7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172,038,804,860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212,063,693,734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40,024,888,874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8"/>
              </w:rPr>
              <w:t>歳出決算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8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170,711,852,213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210,001,538,693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39,289,686,480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87"/>
                <w:fitText w:val="2520" w:id="9"/>
              </w:rPr>
              <w:t>歳入歳出差引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9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1,326,952,647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2,062,155,041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735,202,394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翌年度へ繰り越すべき財源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131,603,440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47,216,697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1"/>
              </w:rPr>
              <w:t>84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,386,743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10"/>
              </w:rPr>
              <w:t>実質収支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10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1,195,349,207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2,014,938,344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819,589,137 </w:t>
            </w:r>
          </w:p>
        </w:tc>
      </w:tr>
    </w:tbl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ind w:firstLine="0" w:firstLineChars="20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平成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年度特別会計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の歳入決算額は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1,720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3,880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4,860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2,120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6,369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3,734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400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2,488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8,874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(18.9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また、歳出決算額は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1,707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1,185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2,213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2,100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153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8,693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392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8,968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6,480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(18.7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この結果、歳入歳出差引額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2,695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2,647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円から翌年度へ繰り越すべき財源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3,160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3,440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円を控除した平成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年度の実質収支は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b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 11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9,534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9,207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円となり、前年度の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1,493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8,344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1,958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9,137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(40.7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sectPr>
      <w:footerReference r:id="rId5" w:type="default"/>
      <w:pgSz w:w="16838" w:h="11906" w:orient="landscape"/>
      <w:pgMar w:top="1417" w:right="1417" w:bottom="1417" w:left="1701" w:header="851" w:footer="567" w:gutter="0"/>
      <w:pgBorders w:zOrder="front" w:display="allPages" w:offsetFrom="page"/>
      <w:pgNumType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5"/>
            <w:rFonts w:hint="eastAsia"/>
          </w:rPr>
          <w:t>4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成田　幹男</dc:creator>
  <cp:lastModifiedBy>成田　幹男</cp:lastModifiedBy>
  <dcterms:created xsi:type="dcterms:W3CDTF">2022-09-16T00:00:00Z</dcterms:created>
  <dcterms:modified xsi:type="dcterms:W3CDTF">2022-09-16T02:20:22Z</dcterms:modified>
  <cp:revision>16</cp:revision>
</cp:coreProperties>
</file>